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F248" w14:textId="7B685FE5" w:rsidR="009E1BBB" w:rsidRPr="00A23A6A" w:rsidRDefault="00FB1595" w:rsidP="001F3BAD">
      <w:pPr>
        <w:pStyle w:val="NoSpacing"/>
        <w:rPr>
          <w:rFonts w:ascii="Arial" w:hAnsi="Arial" w:cs="Arial"/>
          <w:sz w:val="24"/>
          <w:szCs w:val="24"/>
        </w:rPr>
      </w:pPr>
      <w:r w:rsidRPr="00A23A6A">
        <w:rPr>
          <w:rFonts w:ascii="Arial" w:hAnsi="Arial" w:cs="Arial"/>
          <w:noProof/>
          <w:sz w:val="24"/>
          <w:szCs w:val="24"/>
        </w:rPr>
        <w:drawing>
          <wp:anchor distT="0" distB="0" distL="114300" distR="114300" simplePos="0" relativeHeight="251656191" behindDoc="0" locked="0" layoutInCell="1" allowOverlap="1" wp14:anchorId="06413C24" wp14:editId="38D0D284">
            <wp:simplePos x="0" y="0"/>
            <wp:positionH relativeFrom="margin">
              <wp:posOffset>2651510</wp:posOffset>
            </wp:positionH>
            <wp:positionV relativeFrom="margin">
              <wp:posOffset>-102870</wp:posOffset>
            </wp:positionV>
            <wp:extent cx="1910715"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tretch>
                      <a:fillRect/>
                    </a:stretch>
                  </pic:blipFill>
                  <pic:spPr bwMode="auto">
                    <a:xfrm>
                      <a:off x="0" y="0"/>
                      <a:ext cx="191071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A6A">
        <w:rPr>
          <w:rFonts w:ascii="Arial" w:hAnsi="Arial" w:cs="Arial"/>
          <w:noProof/>
          <w:sz w:val="24"/>
          <w:szCs w:val="24"/>
        </w:rPr>
        <w:drawing>
          <wp:anchor distT="0" distB="0" distL="114300" distR="114300" simplePos="0" relativeHeight="251657216" behindDoc="0" locked="0" layoutInCell="1" allowOverlap="1" wp14:anchorId="750E412C" wp14:editId="3FC283AA">
            <wp:simplePos x="0" y="0"/>
            <wp:positionH relativeFrom="margin">
              <wp:posOffset>4464343</wp:posOffset>
            </wp:positionH>
            <wp:positionV relativeFrom="margin">
              <wp:posOffset>-68562</wp:posOffset>
            </wp:positionV>
            <wp:extent cx="1560195" cy="855980"/>
            <wp:effectExtent l="0" t="0" r="190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56019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57AD1" w14:textId="1EC55C41" w:rsidR="009E1BBB" w:rsidRPr="00A23A6A" w:rsidRDefault="008E621F" w:rsidP="00A96F80">
      <w:pPr>
        <w:pStyle w:val="NoSpacing"/>
        <w:tabs>
          <w:tab w:val="left" w:pos="1788"/>
        </w:tabs>
        <w:rPr>
          <w:rFonts w:ascii="Arial" w:hAnsi="Arial" w:cs="Arial"/>
          <w:sz w:val="24"/>
          <w:szCs w:val="24"/>
        </w:rPr>
      </w:pPr>
      <w:r w:rsidRPr="00A23A6A">
        <w:rPr>
          <w:rFonts w:ascii="Arial" w:hAnsi="Arial" w:cs="Arial"/>
          <w:sz w:val="24"/>
          <w:szCs w:val="24"/>
        </w:rPr>
        <w:tab/>
      </w:r>
    </w:p>
    <w:p w14:paraId="55085ED0" w14:textId="56AB2BA2" w:rsidR="001F3BAD" w:rsidRPr="00A23A6A" w:rsidRDefault="001B10FF" w:rsidP="001B10FF">
      <w:pPr>
        <w:pStyle w:val="NoSpacing"/>
        <w:rPr>
          <w:rFonts w:ascii="Arial" w:hAnsi="Arial" w:cs="Arial"/>
          <w:sz w:val="24"/>
          <w:szCs w:val="24"/>
        </w:rPr>
      </w:pPr>
      <w:r w:rsidRPr="00A23A6A">
        <w:rPr>
          <w:rFonts w:ascii="Arial" w:hAnsi="Arial" w:cs="Arial"/>
          <w:sz w:val="24"/>
          <w:szCs w:val="24"/>
        </w:rPr>
        <w:tab/>
      </w:r>
    </w:p>
    <w:p w14:paraId="3D2A40AF" w14:textId="77777777" w:rsidR="001F3BAD" w:rsidRPr="00A23A6A" w:rsidRDefault="001F3BAD" w:rsidP="00413C57">
      <w:pPr>
        <w:pStyle w:val="NoSpacing"/>
        <w:rPr>
          <w:rFonts w:ascii="Arial" w:hAnsi="Arial" w:cs="Arial"/>
          <w:sz w:val="24"/>
          <w:szCs w:val="24"/>
        </w:rPr>
      </w:pPr>
    </w:p>
    <w:p w14:paraId="13BD212C" w14:textId="77777777" w:rsidR="00413C57"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[DATE]</w:t>
      </w:r>
    </w:p>
    <w:p w14:paraId="59AE5C17" w14:textId="77777777" w:rsidR="00413C57" w:rsidRPr="00A23A6A" w:rsidRDefault="00413C57" w:rsidP="001F3BAD">
      <w:pPr>
        <w:pStyle w:val="NoSpacing"/>
        <w:rPr>
          <w:rFonts w:ascii="Arial" w:hAnsi="Arial" w:cs="Arial"/>
          <w:color w:val="FF0000"/>
          <w:sz w:val="20"/>
          <w:szCs w:val="20"/>
        </w:rPr>
      </w:pPr>
    </w:p>
    <w:p w14:paraId="110FC6A9" w14:textId="77777777" w:rsidR="00413C57"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[COMPANY NAME]</w:t>
      </w:r>
    </w:p>
    <w:p w14:paraId="2544EEE1" w14:textId="77777777" w:rsidR="002319F8" w:rsidRPr="00A23A6A" w:rsidRDefault="002319F8" w:rsidP="001F3BAD">
      <w:pPr>
        <w:pStyle w:val="NoSpacing"/>
        <w:rPr>
          <w:rFonts w:ascii="Arial" w:hAnsi="Arial" w:cs="Arial"/>
          <w:color w:val="FF0000"/>
          <w:sz w:val="20"/>
          <w:szCs w:val="20"/>
        </w:rPr>
      </w:pPr>
      <w:r w:rsidRPr="00A23A6A">
        <w:rPr>
          <w:rFonts w:ascii="Arial" w:hAnsi="Arial" w:cs="Arial"/>
          <w:color w:val="FF0000"/>
          <w:sz w:val="20"/>
          <w:szCs w:val="20"/>
        </w:rPr>
        <w:t>[COMPANY ADDRESS]</w:t>
      </w:r>
    </w:p>
    <w:p w14:paraId="608CEB07" w14:textId="77777777" w:rsidR="002319F8" w:rsidRPr="00A23A6A" w:rsidRDefault="002319F8" w:rsidP="001F3BAD">
      <w:pPr>
        <w:pStyle w:val="NoSpacing"/>
        <w:rPr>
          <w:rFonts w:ascii="Arial" w:hAnsi="Arial" w:cs="Arial"/>
          <w:sz w:val="20"/>
          <w:szCs w:val="20"/>
        </w:rPr>
      </w:pPr>
    </w:p>
    <w:p w14:paraId="19215BB7" w14:textId="77777777" w:rsidR="00D61A68" w:rsidRPr="00A23A6A" w:rsidRDefault="001F3BAD" w:rsidP="001F3BAD">
      <w:pPr>
        <w:pStyle w:val="NoSpacing"/>
        <w:rPr>
          <w:rFonts w:ascii="Arial" w:hAnsi="Arial" w:cs="Arial"/>
          <w:color w:val="FF0000"/>
          <w:sz w:val="20"/>
          <w:szCs w:val="20"/>
        </w:rPr>
      </w:pPr>
      <w:r w:rsidRPr="00A23A6A">
        <w:rPr>
          <w:rFonts w:ascii="Arial" w:hAnsi="Arial" w:cs="Arial"/>
          <w:sz w:val="20"/>
          <w:szCs w:val="20"/>
        </w:rPr>
        <w:t xml:space="preserve">Dear </w:t>
      </w:r>
      <w:r w:rsidR="002319F8" w:rsidRPr="00A23A6A">
        <w:rPr>
          <w:rFonts w:ascii="Arial" w:hAnsi="Arial" w:cs="Arial"/>
          <w:color w:val="FF0000"/>
          <w:sz w:val="20"/>
          <w:szCs w:val="20"/>
        </w:rPr>
        <w:t>[</w:t>
      </w:r>
      <w:r w:rsidR="009871E9" w:rsidRPr="00A23A6A">
        <w:rPr>
          <w:rFonts w:ascii="Arial" w:hAnsi="Arial" w:cs="Arial"/>
          <w:color w:val="FF0000"/>
          <w:sz w:val="20"/>
          <w:szCs w:val="20"/>
        </w:rPr>
        <w:t>COMPANY NAME]</w:t>
      </w:r>
      <w:r w:rsidRPr="00A23A6A">
        <w:rPr>
          <w:rFonts w:ascii="Arial" w:hAnsi="Arial" w:cs="Arial"/>
          <w:color w:val="FF0000"/>
          <w:sz w:val="20"/>
          <w:szCs w:val="20"/>
        </w:rPr>
        <w:t>,</w:t>
      </w:r>
    </w:p>
    <w:p w14:paraId="2FC82BBC" w14:textId="77777777" w:rsidR="001F3BAD" w:rsidRPr="00A23A6A" w:rsidRDefault="001F3BAD" w:rsidP="001F3BAD">
      <w:pPr>
        <w:pStyle w:val="NoSpacing"/>
        <w:rPr>
          <w:rFonts w:ascii="Arial" w:hAnsi="Arial" w:cs="Arial"/>
          <w:sz w:val="20"/>
          <w:szCs w:val="20"/>
        </w:rPr>
      </w:pPr>
    </w:p>
    <w:p w14:paraId="2D42A43D" w14:textId="38A4FD84" w:rsidR="009E7F89" w:rsidRPr="00A23A6A" w:rsidRDefault="001F3BAD" w:rsidP="005665F2">
      <w:pPr>
        <w:rPr>
          <w:rFonts w:ascii="Arial" w:eastAsia="Times New Roman" w:hAnsi="Arial" w:cs="Arial"/>
          <w:sz w:val="20"/>
          <w:szCs w:val="20"/>
        </w:rPr>
      </w:pPr>
      <w:r w:rsidRPr="00A23A6A">
        <w:rPr>
          <w:rFonts w:ascii="Arial" w:hAnsi="Arial" w:cs="Arial"/>
          <w:sz w:val="20"/>
          <w:szCs w:val="20"/>
        </w:rPr>
        <w:t>You</w:t>
      </w:r>
      <w:r w:rsidR="00D73F09" w:rsidRPr="00A23A6A">
        <w:rPr>
          <w:rFonts w:ascii="Arial" w:hAnsi="Arial" w:cs="Arial"/>
          <w:sz w:val="20"/>
          <w:szCs w:val="20"/>
        </w:rPr>
        <w:t xml:space="preserve">r organization is </w:t>
      </w:r>
      <w:r w:rsidRPr="00A23A6A">
        <w:rPr>
          <w:rFonts w:ascii="Arial" w:hAnsi="Arial" w:cs="Arial"/>
          <w:sz w:val="20"/>
          <w:szCs w:val="20"/>
        </w:rPr>
        <w:t xml:space="preserve">receiving this letter </w:t>
      </w:r>
      <w:r w:rsidR="002319F8" w:rsidRPr="00A23A6A">
        <w:rPr>
          <w:rFonts w:ascii="Arial" w:hAnsi="Arial" w:cs="Arial"/>
          <w:sz w:val="20"/>
          <w:szCs w:val="20"/>
        </w:rPr>
        <w:t xml:space="preserve">as a </w:t>
      </w:r>
      <w:r w:rsidR="00A96F80" w:rsidRPr="00A23A6A">
        <w:rPr>
          <w:rFonts w:ascii="Arial" w:hAnsi="Arial" w:cs="Arial"/>
          <w:color w:val="FF0000"/>
          <w:sz w:val="20"/>
          <w:szCs w:val="20"/>
        </w:rPr>
        <w:t xml:space="preserve">[provider, manufacturer or supplier] </w:t>
      </w:r>
      <w:r w:rsidR="006C77F4" w:rsidRPr="00A23A6A">
        <w:rPr>
          <w:rFonts w:ascii="Arial" w:hAnsi="Arial" w:cs="Arial"/>
          <w:sz w:val="20"/>
          <w:szCs w:val="20"/>
        </w:rPr>
        <w:t>of</w:t>
      </w:r>
      <w:r w:rsidR="0065485D" w:rsidRPr="00A23A6A">
        <w:rPr>
          <w:rFonts w:ascii="Arial" w:hAnsi="Arial" w:cs="Arial"/>
          <w:sz w:val="20"/>
          <w:szCs w:val="20"/>
        </w:rPr>
        <w:t xml:space="preserve"> materials </w:t>
      </w:r>
      <w:r w:rsidR="002319F8" w:rsidRPr="00A23A6A">
        <w:rPr>
          <w:rFonts w:ascii="Arial" w:hAnsi="Arial" w:cs="Arial"/>
          <w:sz w:val="20"/>
          <w:szCs w:val="20"/>
        </w:rPr>
        <w:t xml:space="preserve">for </w:t>
      </w:r>
      <w:r w:rsidR="002319F8" w:rsidRPr="00A23A6A">
        <w:rPr>
          <w:rFonts w:ascii="Arial" w:hAnsi="Arial" w:cs="Arial"/>
          <w:color w:val="FF0000"/>
          <w:sz w:val="20"/>
          <w:szCs w:val="20"/>
        </w:rPr>
        <w:t xml:space="preserve">[PROJECT NAME] </w:t>
      </w:r>
      <w:r w:rsidR="002319F8" w:rsidRPr="00A23A6A">
        <w:rPr>
          <w:rFonts w:ascii="Arial" w:hAnsi="Arial" w:cs="Arial"/>
          <w:sz w:val="20"/>
          <w:szCs w:val="20"/>
        </w:rPr>
        <w:t xml:space="preserve">which is seeking certification via the Sustainable </w:t>
      </w:r>
      <w:r w:rsidR="00FB1595">
        <w:rPr>
          <w:rFonts w:ascii="Arial" w:hAnsi="Arial" w:cs="Arial"/>
          <w:sz w:val="20"/>
          <w:szCs w:val="20"/>
        </w:rPr>
        <w:t>SITES</w:t>
      </w:r>
      <w:r w:rsidR="002319F8" w:rsidRPr="00A23A6A">
        <w:rPr>
          <w:rFonts w:ascii="Arial" w:hAnsi="Arial" w:cs="Arial"/>
          <w:sz w:val="20"/>
          <w:szCs w:val="20"/>
        </w:rPr>
        <w:t xml:space="preserve"> Initiative</w:t>
      </w:r>
      <w:r w:rsidR="006D06DF" w:rsidRPr="00A23A6A">
        <w:rPr>
          <w:rFonts w:ascii="Arial" w:hAnsi="Arial" w:cs="Arial"/>
          <w:sz w:val="20"/>
          <w:szCs w:val="20"/>
        </w:rPr>
        <w:t>®</w:t>
      </w:r>
      <w:r w:rsidR="002319F8" w:rsidRPr="00A23A6A">
        <w:rPr>
          <w:rFonts w:ascii="Arial" w:hAnsi="Arial" w:cs="Arial"/>
          <w:sz w:val="20"/>
          <w:szCs w:val="20"/>
        </w:rPr>
        <w:t xml:space="preserve"> (SITES</w:t>
      </w:r>
      <w:r w:rsidR="006D06DF" w:rsidRPr="00A23A6A">
        <w:rPr>
          <w:rFonts w:ascii="Arial" w:hAnsi="Arial" w:cs="Arial"/>
          <w:sz w:val="20"/>
          <w:szCs w:val="20"/>
        </w:rPr>
        <w:t>®</w:t>
      </w:r>
      <w:r w:rsidR="002319F8" w:rsidRPr="00A23A6A">
        <w:rPr>
          <w:rFonts w:ascii="Arial" w:hAnsi="Arial" w:cs="Arial"/>
          <w:sz w:val="20"/>
          <w:szCs w:val="20"/>
        </w:rPr>
        <w:t>).</w:t>
      </w:r>
      <w:r w:rsidR="00410768" w:rsidRPr="00A23A6A">
        <w:rPr>
          <w:rFonts w:ascii="Arial" w:hAnsi="Arial" w:cs="Arial"/>
          <w:sz w:val="20"/>
          <w:szCs w:val="20"/>
        </w:rPr>
        <w:t xml:space="preserve"> </w:t>
      </w:r>
      <w:r w:rsidR="006D06DF" w:rsidRPr="00A23A6A">
        <w:rPr>
          <w:rFonts w:ascii="Arial" w:hAnsi="Arial" w:cs="Arial"/>
          <w:sz w:val="20"/>
          <w:szCs w:val="20"/>
        </w:rPr>
        <w:t xml:space="preserve"> </w:t>
      </w:r>
      <w:r w:rsidRPr="00A23A6A">
        <w:rPr>
          <w:rFonts w:ascii="Arial" w:hAnsi="Arial" w:cs="Arial"/>
          <w:sz w:val="20"/>
          <w:szCs w:val="20"/>
        </w:rPr>
        <w:t xml:space="preserve">SITES </w:t>
      </w:r>
      <w:r w:rsidR="00FB1595">
        <w:rPr>
          <w:rFonts w:ascii="Arial" w:hAnsi="Arial" w:cs="Arial"/>
          <w:sz w:val="20"/>
          <w:szCs w:val="20"/>
        </w:rPr>
        <w:t>is</w:t>
      </w:r>
      <w:r w:rsidRPr="00A23A6A">
        <w:rPr>
          <w:rFonts w:ascii="Arial" w:hAnsi="Arial" w:cs="Arial"/>
          <w:sz w:val="20"/>
          <w:szCs w:val="20"/>
        </w:rPr>
        <w:t xml:space="preserve"> </w:t>
      </w:r>
      <w:r w:rsidR="009871E9" w:rsidRPr="00A23A6A">
        <w:rPr>
          <w:rFonts w:ascii="Arial" w:hAnsi="Arial" w:cs="Arial"/>
          <w:sz w:val="20"/>
          <w:szCs w:val="20"/>
        </w:rPr>
        <w:t xml:space="preserve">a </w:t>
      </w:r>
      <w:r w:rsidR="006D06DF" w:rsidRPr="00A23A6A">
        <w:rPr>
          <w:rFonts w:ascii="Arial" w:hAnsi="Arial" w:cs="Arial"/>
          <w:sz w:val="20"/>
          <w:szCs w:val="20"/>
        </w:rPr>
        <w:t xml:space="preserve">comprehensive </w:t>
      </w:r>
      <w:r w:rsidR="00413C57" w:rsidRPr="00A23A6A">
        <w:rPr>
          <w:rFonts w:ascii="Arial" w:hAnsi="Arial" w:cs="Arial"/>
          <w:sz w:val="20"/>
          <w:szCs w:val="20"/>
        </w:rPr>
        <w:t xml:space="preserve">rating system </w:t>
      </w:r>
      <w:r w:rsidR="009367C6">
        <w:rPr>
          <w:rFonts w:ascii="Arial" w:hAnsi="Arial" w:cs="Arial"/>
          <w:sz w:val="20"/>
          <w:szCs w:val="20"/>
        </w:rPr>
        <w:t>and third</w:t>
      </w:r>
      <w:r w:rsidR="00073989">
        <w:rPr>
          <w:rFonts w:ascii="Arial" w:hAnsi="Arial" w:cs="Arial"/>
          <w:sz w:val="20"/>
          <w:szCs w:val="20"/>
        </w:rPr>
        <w:t>-</w:t>
      </w:r>
      <w:r w:rsidR="009367C6">
        <w:rPr>
          <w:rFonts w:ascii="Arial" w:hAnsi="Arial" w:cs="Arial"/>
          <w:sz w:val="20"/>
          <w:szCs w:val="20"/>
        </w:rPr>
        <w:t>party certification that</w:t>
      </w:r>
      <w:r w:rsidR="00413C57" w:rsidRPr="00A23A6A">
        <w:rPr>
          <w:rFonts w:ascii="Arial" w:hAnsi="Arial" w:cs="Arial"/>
          <w:sz w:val="20"/>
          <w:szCs w:val="20"/>
        </w:rPr>
        <w:t xml:space="preserve"> </w:t>
      </w:r>
      <w:r w:rsidR="006D06DF" w:rsidRPr="00A23A6A">
        <w:rPr>
          <w:rFonts w:ascii="Arial" w:hAnsi="Arial" w:cs="Arial"/>
          <w:sz w:val="20"/>
          <w:szCs w:val="20"/>
        </w:rPr>
        <w:t>distinguish</w:t>
      </w:r>
      <w:r w:rsidR="009367C6">
        <w:rPr>
          <w:rFonts w:ascii="Arial" w:hAnsi="Arial" w:cs="Arial"/>
          <w:sz w:val="20"/>
          <w:szCs w:val="20"/>
        </w:rPr>
        <w:t>es</w:t>
      </w:r>
      <w:r w:rsidR="006D06DF" w:rsidRPr="00A23A6A">
        <w:rPr>
          <w:rFonts w:ascii="Arial" w:hAnsi="Arial" w:cs="Arial"/>
          <w:sz w:val="20"/>
          <w:szCs w:val="20"/>
        </w:rPr>
        <w:t xml:space="preserve"> </w:t>
      </w:r>
      <w:r w:rsidR="00FB1595">
        <w:rPr>
          <w:rFonts w:ascii="Arial" w:hAnsi="Arial" w:cs="Arial"/>
          <w:sz w:val="20"/>
          <w:szCs w:val="20"/>
        </w:rPr>
        <w:t>high performance sites</w:t>
      </w:r>
      <w:r w:rsidR="00413C57" w:rsidRPr="00A23A6A">
        <w:rPr>
          <w:rFonts w:ascii="Arial" w:hAnsi="Arial" w:cs="Arial"/>
          <w:sz w:val="20"/>
          <w:szCs w:val="20"/>
        </w:rPr>
        <w:t>, measure</w:t>
      </w:r>
      <w:r w:rsidR="009367C6">
        <w:rPr>
          <w:rFonts w:ascii="Arial" w:hAnsi="Arial" w:cs="Arial"/>
          <w:sz w:val="20"/>
          <w:szCs w:val="20"/>
        </w:rPr>
        <w:t>s</w:t>
      </w:r>
      <w:r w:rsidR="00413C57" w:rsidRPr="00A23A6A">
        <w:rPr>
          <w:rFonts w:ascii="Arial" w:hAnsi="Arial" w:cs="Arial"/>
          <w:sz w:val="20"/>
          <w:szCs w:val="20"/>
        </w:rPr>
        <w:t xml:space="preserve"> their performance, and elevate</w:t>
      </w:r>
      <w:r w:rsidR="009367C6">
        <w:rPr>
          <w:rFonts w:ascii="Arial" w:hAnsi="Arial" w:cs="Arial"/>
          <w:sz w:val="20"/>
          <w:szCs w:val="20"/>
        </w:rPr>
        <w:t>s</w:t>
      </w:r>
      <w:r w:rsidR="00413C57" w:rsidRPr="00A23A6A">
        <w:rPr>
          <w:rFonts w:ascii="Arial" w:hAnsi="Arial" w:cs="Arial"/>
          <w:sz w:val="20"/>
          <w:szCs w:val="20"/>
        </w:rPr>
        <w:t xml:space="preserve"> </w:t>
      </w:r>
      <w:r w:rsidR="009367C6">
        <w:rPr>
          <w:rFonts w:ascii="Arial" w:hAnsi="Arial" w:cs="Arial"/>
          <w:sz w:val="20"/>
          <w:szCs w:val="20"/>
        </w:rPr>
        <w:t>the value of</w:t>
      </w:r>
      <w:r w:rsidR="00413C57" w:rsidRPr="00A23A6A">
        <w:rPr>
          <w:rFonts w:ascii="Arial" w:hAnsi="Arial" w:cs="Arial"/>
          <w:sz w:val="20"/>
          <w:szCs w:val="20"/>
        </w:rPr>
        <w:t xml:space="preserve"> </w:t>
      </w:r>
      <w:r w:rsidR="009367C6">
        <w:rPr>
          <w:rFonts w:ascii="Arial" w:hAnsi="Arial" w:cs="Arial"/>
          <w:sz w:val="20"/>
          <w:szCs w:val="20"/>
        </w:rPr>
        <w:t>landscapes and other outdoor spaces in the built environment</w:t>
      </w:r>
      <w:r w:rsidR="009871E9" w:rsidRPr="00A23A6A">
        <w:rPr>
          <w:rFonts w:ascii="Arial" w:hAnsi="Arial" w:cs="Arial"/>
          <w:sz w:val="20"/>
          <w:szCs w:val="20"/>
        </w:rPr>
        <w:t xml:space="preserve">. </w:t>
      </w:r>
      <w:r w:rsidR="00820050" w:rsidRPr="00A23A6A">
        <w:rPr>
          <w:rFonts w:ascii="Arial" w:hAnsi="Arial" w:cs="Arial"/>
          <w:sz w:val="20"/>
          <w:szCs w:val="20"/>
        </w:rPr>
        <w:t xml:space="preserve"> </w:t>
      </w:r>
      <w:r w:rsidR="00A96F80" w:rsidRPr="00A23A6A">
        <w:rPr>
          <w:rFonts w:ascii="Arial" w:hAnsi="Arial" w:cs="Arial"/>
          <w:sz w:val="20"/>
          <w:szCs w:val="20"/>
        </w:rPr>
        <w:t>It is administered by Green Business Certification Inc.</w:t>
      </w:r>
      <w:bookmarkStart w:id="0" w:name="_Hlk226459448"/>
      <w:r w:rsidR="00073989" w:rsidRPr="00AF0A74">
        <w:rPr>
          <w:rFonts w:ascii="Arial" w:hAnsi="Arial" w:cs="Arial"/>
          <w:sz w:val="16"/>
          <w:szCs w:val="16"/>
          <w:vertAlign w:val="superscript"/>
        </w:rPr>
        <w:t>TM</w:t>
      </w:r>
      <w:r w:rsidR="00A96F80" w:rsidRPr="00A23A6A">
        <w:rPr>
          <w:rFonts w:ascii="Arial" w:hAnsi="Arial" w:cs="Arial"/>
          <w:sz w:val="20"/>
          <w:szCs w:val="20"/>
        </w:rPr>
        <w:t xml:space="preserve"> </w:t>
      </w:r>
      <w:bookmarkEnd w:id="0"/>
      <w:r w:rsidR="00A96F80" w:rsidRPr="00A23A6A">
        <w:rPr>
          <w:rFonts w:ascii="Arial" w:hAnsi="Arial" w:cs="Arial"/>
          <w:sz w:val="20"/>
          <w:szCs w:val="20"/>
        </w:rPr>
        <w:t>(GBCI)</w:t>
      </w:r>
      <w:r w:rsidR="00073989">
        <w:rPr>
          <w:rFonts w:ascii="Arial" w:hAnsi="Arial" w:cs="Arial"/>
          <w:sz w:val="20"/>
          <w:szCs w:val="20"/>
        </w:rPr>
        <w:t>,</w:t>
      </w:r>
      <w:r w:rsidR="00A96F80" w:rsidRPr="00A23A6A">
        <w:rPr>
          <w:rFonts w:ascii="Arial" w:hAnsi="Arial" w:cs="Arial"/>
          <w:sz w:val="20"/>
          <w:szCs w:val="20"/>
        </w:rPr>
        <w:t xml:space="preserve"> and more information about the program (including a free download of the SITES v2 Rating System and Scorecard) is available at www.sustainablesites.org.</w:t>
      </w:r>
    </w:p>
    <w:p w14:paraId="39ED1DFD" w14:textId="77777777" w:rsidR="00D4752E" w:rsidRDefault="006D06DF" w:rsidP="00F206DC">
      <w:pPr>
        <w:pStyle w:val="NoSpacing"/>
        <w:spacing w:line="276" w:lineRule="auto"/>
        <w:rPr>
          <w:rFonts w:ascii="Arial" w:hAnsi="Arial" w:cs="Arial"/>
          <w:sz w:val="20"/>
          <w:szCs w:val="20"/>
        </w:rPr>
      </w:pPr>
      <w:r w:rsidRPr="00A23A6A">
        <w:rPr>
          <w:rFonts w:ascii="Arial" w:hAnsi="Arial" w:cs="Arial"/>
          <w:i/>
          <w:sz w:val="20"/>
          <w:szCs w:val="20"/>
        </w:rPr>
        <w:t xml:space="preserve">SITES </w:t>
      </w:r>
      <w:r w:rsidR="002319F8" w:rsidRPr="00A23A6A">
        <w:rPr>
          <w:rFonts w:ascii="Arial" w:hAnsi="Arial" w:cs="Arial"/>
          <w:i/>
          <w:sz w:val="20"/>
          <w:szCs w:val="20"/>
        </w:rPr>
        <w:t>Credit 5.</w:t>
      </w:r>
      <w:r w:rsidR="005E2035" w:rsidRPr="00A23A6A">
        <w:rPr>
          <w:rFonts w:ascii="Arial" w:hAnsi="Arial" w:cs="Arial"/>
          <w:i/>
          <w:sz w:val="20"/>
          <w:szCs w:val="20"/>
        </w:rPr>
        <w:t>8</w:t>
      </w:r>
      <w:r w:rsidR="002319F8" w:rsidRPr="00A23A6A">
        <w:rPr>
          <w:rFonts w:ascii="Arial" w:hAnsi="Arial" w:cs="Arial"/>
          <w:i/>
          <w:sz w:val="20"/>
          <w:szCs w:val="20"/>
        </w:rPr>
        <w:t xml:space="preserve">: </w:t>
      </w:r>
      <w:r w:rsidR="005E2035" w:rsidRPr="00A23A6A">
        <w:rPr>
          <w:rFonts w:ascii="Arial" w:hAnsi="Arial" w:cs="Arial"/>
          <w:i/>
          <w:sz w:val="20"/>
          <w:szCs w:val="20"/>
        </w:rPr>
        <w:t>Support transparency and</w:t>
      </w:r>
      <w:r w:rsidR="006C77F4" w:rsidRPr="00A23A6A">
        <w:rPr>
          <w:rFonts w:ascii="Arial" w:hAnsi="Arial" w:cs="Arial"/>
          <w:i/>
          <w:sz w:val="20"/>
          <w:szCs w:val="20"/>
        </w:rPr>
        <w:t xml:space="preserve"> </w:t>
      </w:r>
      <w:r w:rsidR="005E2035" w:rsidRPr="00A23A6A">
        <w:rPr>
          <w:rFonts w:ascii="Arial" w:hAnsi="Arial" w:cs="Arial"/>
          <w:i/>
          <w:sz w:val="20"/>
          <w:szCs w:val="20"/>
        </w:rPr>
        <w:t>safer chemistry</w:t>
      </w:r>
      <w:r w:rsidR="002319F8" w:rsidRPr="00A23A6A">
        <w:rPr>
          <w:rFonts w:ascii="Arial" w:hAnsi="Arial" w:cs="Arial"/>
          <w:sz w:val="20"/>
          <w:szCs w:val="20"/>
        </w:rPr>
        <w:t xml:space="preserve"> </w:t>
      </w:r>
      <w:r w:rsidR="00410768" w:rsidRPr="00A23A6A">
        <w:rPr>
          <w:rFonts w:ascii="Arial" w:hAnsi="Arial" w:cs="Arial"/>
          <w:sz w:val="20"/>
          <w:szCs w:val="20"/>
        </w:rPr>
        <w:t>aims</w:t>
      </w:r>
      <w:r w:rsidR="009871E9" w:rsidRPr="00A23A6A">
        <w:rPr>
          <w:rFonts w:ascii="Arial" w:hAnsi="Arial" w:cs="Arial"/>
          <w:sz w:val="20"/>
          <w:szCs w:val="20"/>
        </w:rPr>
        <w:t xml:space="preserve"> to </w:t>
      </w:r>
      <w:r w:rsidR="006C77F4" w:rsidRPr="00A23A6A">
        <w:rPr>
          <w:rFonts w:ascii="Arial" w:hAnsi="Arial" w:cs="Arial"/>
          <w:sz w:val="20"/>
          <w:szCs w:val="20"/>
        </w:rPr>
        <w:t>decrease harmful health and environmental impacts and encourage the use of safer alternatives by promoting the use of materials with available chemical inventories, lifecycle information, and hazard assessments.</w:t>
      </w:r>
      <w:r w:rsidR="00392EB8" w:rsidRPr="00A23A6A">
        <w:rPr>
          <w:rFonts w:ascii="Arial" w:hAnsi="Arial" w:cs="Arial"/>
          <w:sz w:val="20"/>
          <w:szCs w:val="20"/>
        </w:rPr>
        <w:t xml:space="preserve"> </w:t>
      </w:r>
    </w:p>
    <w:p w14:paraId="32F02A1D" w14:textId="77777777" w:rsidR="00D4752E" w:rsidRDefault="00D4752E" w:rsidP="00F206DC">
      <w:pPr>
        <w:pStyle w:val="NoSpacing"/>
        <w:spacing w:line="276" w:lineRule="auto"/>
        <w:rPr>
          <w:rFonts w:ascii="Arial" w:hAnsi="Arial" w:cs="Arial"/>
          <w:sz w:val="20"/>
          <w:szCs w:val="20"/>
        </w:rPr>
      </w:pPr>
    </w:p>
    <w:p w14:paraId="715498A7" w14:textId="2DDC9AEB" w:rsidR="00F206DC" w:rsidRPr="00A23A6A" w:rsidRDefault="00392EB8" w:rsidP="00F206DC">
      <w:pPr>
        <w:pStyle w:val="NoSpacing"/>
        <w:spacing w:line="276" w:lineRule="auto"/>
        <w:rPr>
          <w:rFonts w:ascii="Arial" w:hAnsi="Arial" w:cs="Arial"/>
          <w:sz w:val="20"/>
          <w:szCs w:val="20"/>
        </w:rPr>
      </w:pPr>
      <w:r w:rsidRPr="00A23A6A">
        <w:rPr>
          <w:rFonts w:ascii="Arial" w:hAnsi="Arial" w:cs="Arial"/>
          <w:sz w:val="20"/>
          <w:szCs w:val="20"/>
        </w:rPr>
        <w:t xml:space="preserve">To meet the intent of this credit and earn respective points in the SITES </w:t>
      </w:r>
      <w:r w:rsidR="00FB1595">
        <w:rPr>
          <w:rFonts w:ascii="Arial" w:hAnsi="Arial" w:cs="Arial"/>
          <w:sz w:val="20"/>
          <w:szCs w:val="20"/>
        </w:rPr>
        <w:t xml:space="preserve">v2 </w:t>
      </w:r>
      <w:r w:rsidRPr="00A23A6A">
        <w:rPr>
          <w:rFonts w:ascii="Arial" w:hAnsi="Arial" w:cs="Arial"/>
          <w:sz w:val="20"/>
          <w:szCs w:val="20"/>
        </w:rPr>
        <w:t xml:space="preserve">Rating System, we are </w:t>
      </w:r>
      <w:proofErr w:type="gramStart"/>
      <w:r w:rsidRPr="00A23A6A">
        <w:rPr>
          <w:rFonts w:ascii="Arial" w:hAnsi="Arial" w:cs="Arial"/>
          <w:sz w:val="20"/>
          <w:szCs w:val="20"/>
        </w:rPr>
        <w:t>asking for</w:t>
      </w:r>
      <w:proofErr w:type="gramEnd"/>
      <w:r w:rsidRPr="00A23A6A">
        <w:rPr>
          <w:rFonts w:ascii="Arial" w:hAnsi="Arial" w:cs="Arial"/>
          <w:sz w:val="20"/>
          <w:szCs w:val="20"/>
        </w:rPr>
        <w:t xml:space="preserve"> your organization to</w:t>
      </w:r>
      <w:r w:rsidR="00F206DC" w:rsidRPr="00A23A6A">
        <w:rPr>
          <w:rFonts w:ascii="Arial" w:hAnsi="Arial" w:cs="Arial"/>
          <w:sz w:val="20"/>
          <w:szCs w:val="20"/>
        </w:rPr>
        <w:t xml:space="preserve"> develop and disclose chemical inventories </w:t>
      </w:r>
      <w:r w:rsidR="003F09FF">
        <w:rPr>
          <w:rFonts w:ascii="Arial" w:hAnsi="Arial" w:cs="Arial"/>
          <w:sz w:val="20"/>
          <w:szCs w:val="20"/>
        </w:rPr>
        <w:t xml:space="preserve">and / or </w:t>
      </w:r>
      <w:r w:rsidR="00F206DC" w:rsidRPr="00A23A6A">
        <w:rPr>
          <w:rFonts w:ascii="Arial" w:hAnsi="Arial" w:cs="Arial"/>
          <w:sz w:val="20"/>
          <w:szCs w:val="20"/>
        </w:rPr>
        <w:t>conduct chemical hazard assessments</w:t>
      </w:r>
      <w:r w:rsidR="00BB015F">
        <w:rPr>
          <w:rFonts w:ascii="Arial" w:hAnsi="Arial" w:cs="Arial"/>
          <w:sz w:val="20"/>
          <w:szCs w:val="20"/>
        </w:rPr>
        <w:t>,</w:t>
      </w:r>
      <w:r w:rsidR="00F206DC" w:rsidRPr="00A23A6A">
        <w:rPr>
          <w:rFonts w:ascii="Arial" w:hAnsi="Arial" w:cs="Arial"/>
          <w:sz w:val="20"/>
          <w:szCs w:val="20"/>
        </w:rPr>
        <w:t xml:space="preserve"> </w:t>
      </w:r>
      <w:r w:rsidR="00BB015F">
        <w:rPr>
          <w:rFonts w:ascii="Arial" w:hAnsi="Arial" w:cs="Arial"/>
          <w:sz w:val="20"/>
          <w:szCs w:val="20"/>
        </w:rPr>
        <w:t xml:space="preserve">per the guidance below, </w:t>
      </w:r>
      <w:r w:rsidR="00BB015F" w:rsidRPr="00A23A6A">
        <w:rPr>
          <w:rFonts w:ascii="Arial" w:hAnsi="Arial" w:cs="Arial"/>
          <w:sz w:val="20"/>
          <w:szCs w:val="20"/>
        </w:rPr>
        <w:t>for the following products</w:t>
      </w:r>
      <w:r w:rsidR="00F206DC" w:rsidRPr="00A23A6A">
        <w:rPr>
          <w:rFonts w:ascii="Arial" w:hAnsi="Arial" w:cs="Arial"/>
          <w:sz w:val="20"/>
          <w:szCs w:val="20"/>
        </w:rPr>
        <w:t xml:space="preserve"> </w:t>
      </w:r>
      <w:r w:rsidR="00F206DC" w:rsidRPr="00A23A6A">
        <w:rPr>
          <w:rFonts w:ascii="Arial" w:hAnsi="Arial" w:cs="Arial"/>
          <w:color w:val="FF0000"/>
          <w:sz w:val="20"/>
          <w:szCs w:val="20"/>
        </w:rPr>
        <w:t>[select the appropriate products and delete the rest not requested from this provider, manufacturer or supplier]:</w:t>
      </w:r>
    </w:p>
    <w:p w14:paraId="72525C1B" w14:textId="77777777" w:rsidR="00F206DC" w:rsidRPr="00A23A6A" w:rsidRDefault="00F206DC" w:rsidP="00F206DC">
      <w:pPr>
        <w:pStyle w:val="NoSpacing"/>
        <w:spacing w:line="276" w:lineRule="auto"/>
        <w:rPr>
          <w:rFonts w:ascii="Arial" w:hAnsi="Arial" w:cs="Arial"/>
          <w:sz w:val="20"/>
          <w:szCs w:val="20"/>
        </w:rPr>
      </w:pPr>
    </w:p>
    <w:p w14:paraId="4779861B"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Decking, railing, fencing, trellises, or lattices (wood and non-wood)</w:t>
      </w:r>
    </w:p>
    <w:p w14:paraId="1C1AA542"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Pipes, hoses, and irrigation components</w:t>
      </w:r>
    </w:p>
    <w:p w14:paraId="45429A96" w14:textId="77777777" w:rsidR="00392EB8" w:rsidRPr="00A23A6A" w:rsidRDefault="00392EB8" w:rsidP="00392EB8">
      <w:pPr>
        <w:pStyle w:val="NoSpacing"/>
        <w:numPr>
          <w:ilvl w:val="0"/>
          <w:numId w:val="18"/>
        </w:numPr>
        <w:spacing w:line="276" w:lineRule="auto"/>
        <w:rPr>
          <w:rFonts w:ascii="Arial" w:hAnsi="Arial" w:cs="Arial"/>
          <w:sz w:val="20"/>
          <w:szCs w:val="20"/>
        </w:rPr>
      </w:pPr>
      <w:proofErr w:type="gramStart"/>
      <w:r w:rsidRPr="00A23A6A">
        <w:rPr>
          <w:rFonts w:ascii="Arial" w:hAnsi="Arial" w:cs="Arial"/>
          <w:sz w:val="20"/>
          <w:szCs w:val="20"/>
        </w:rPr>
        <w:t>Conduit</w:t>
      </w:r>
      <w:proofErr w:type="gramEnd"/>
      <w:r w:rsidRPr="00A23A6A">
        <w:rPr>
          <w:rFonts w:ascii="Arial" w:hAnsi="Arial" w:cs="Arial"/>
          <w:sz w:val="20"/>
          <w:szCs w:val="20"/>
        </w:rPr>
        <w:t>, wiring, and electrical equipment</w:t>
      </w:r>
    </w:p>
    <w:p w14:paraId="27313C84"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Lighting</w:t>
      </w:r>
    </w:p>
    <w:p w14:paraId="26EB6D7F"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Membranes, liners, and geotextiles</w:t>
      </w:r>
    </w:p>
    <w:p w14:paraId="30D456F0"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Fabrics and canvas</w:t>
      </w:r>
    </w:p>
    <w:p w14:paraId="5D17F8B2"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Extruded, spray, or board foams</w:t>
      </w:r>
    </w:p>
    <w:p w14:paraId="7BACB7C0"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Paints and coatings</w:t>
      </w:r>
    </w:p>
    <w:p w14:paraId="2C1240F4"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Adhesives, sealants, elastomers (e.g., flexible plastics), water proofing, weather stripping, expansion joint filling, and flashing</w:t>
      </w:r>
    </w:p>
    <w:p w14:paraId="5352A263" w14:textId="77777777" w:rsidR="00392EB8" w:rsidRPr="00A23A6A" w:rsidRDefault="00392EB8" w:rsidP="00392EB8">
      <w:pPr>
        <w:pStyle w:val="NoSpacing"/>
        <w:numPr>
          <w:ilvl w:val="0"/>
          <w:numId w:val="18"/>
        </w:numPr>
        <w:spacing w:line="276" w:lineRule="auto"/>
        <w:rPr>
          <w:rFonts w:ascii="Arial" w:hAnsi="Arial" w:cs="Arial"/>
          <w:sz w:val="20"/>
          <w:szCs w:val="20"/>
        </w:rPr>
      </w:pPr>
      <w:r w:rsidRPr="00A23A6A">
        <w:rPr>
          <w:rFonts w:ascii="Arial" w:hAnsi="Arial" w:cs="Arial"/>
          <w:sz w:val="20"/>
          <w:szCs w:val="20"/>
        </w:rPr>
        <w:t>Synthetic surfacing materials and associated products (e.g., crumb rubber, artificial turf)</w:t>
      </w:r>
    </w:p>
    <w:p w14:paraId="41E31C2F" w14:textId="77777777" w:rsidR="00392EB8" w:rsidRDefault="00392EB8" w:rsidP="00820050">
      <w:pPr>
        <w:pStyle w:val="NoSpacing"/>
        <w:spacing w:line="276" w:lineRule="auto"/>
        <w:rPr>
          <w:rFonts w:ascii="Arial" w:hAnsi="Arial" w:cs="Arial"/>
          <w:sz w:val="20"/>
          <w:szCs w:val="20"/>
        </w:rPr>
      </w:pPr>
    </w:p>
    <w:p w14:paraId="27F92C66" w14:textId="1383A592" w:rsidR="003F09FF" w:rsidRDefault="003F09FF" w:rsidP="003F09FF">
      <w:pPr>
        <w:pStyle w:val="NoSpacing"/>
        <w:rPr>
          <w:rFonts w:ascii="Arial" w:hAnsi="Arial" w:cs="Arial"/>
          <w:sz w:val="20"/>
          <w:szCs w:val="20"/>
        </w:rPr>
      </w:pPr>
      <w:r w:rsidRPr="003F09FF">
        <w:rPr>
          <w:rFonts w:ascii="Arial" w:hAnsi="Arial" w:cs="Arial"/>
          <w:sz w:val="20"/>
          <w:szCs w:val="20"/>
          <w:u w:val="single"/>
        </w:rPr>
        <w:t>Chemical inventories</w:t>
      </w:r>
      <w:r>
        <w:rPr>
          <w:rFonts w:ascii="Arial" w:hAnsi="Arial" w:cs="Arial"/>
          <w:sz w:val="20"/>
          <w:szCs w:val="20"/>
        </w:rPr>
        <w:t xml:space="preserve"> are defined as </w:t>
      </w:r>
      <w:r w:rsidRPr="003F09FF">
        <w:rPr>
          <w:rFonts w:ascii="Arial" w:hAnsi="Arial" w:cs="Arial"/>
          <w:sz w:val="20"/>
          <w:szCs w:val="20"/>
        </w:rPr>
        <w:t>the listing of all chemicals associated with the manufac</w:t>
      </w:r>
      <w:r w:rsidRPr="003F09FF">
        <w:rPr>
          <w:rFonts w:ascii="Arial" w:hAnsi="Arial" w:cs="Arial"/>
          <w:sz w:val="20"/>
          <w:szCs w:val="20"/>
        </w:rPr>
        <w:softHyphen/>
        <w:t>turing of a material and should include, to the extent known or reasonably ascertain</w:t>
      </w:r>
      <w:r w:rsidRPr="003F09FF">
        <w:rPr>
          <w:rFonts w:ascii="Arial" w:hAnsi="Arial" w:cs="Arial"/>
          <w:sz w:val="20"/>
          <w:szCs w:val="20"/>
        </w:rPr>
        <w:softHyphen/>
        <w:t xml:space="preserve">able, all chemicals intentionally added by the manufacturer, any intermediate chemicals that may be wholly or partially consumed during the manufacturing process, and any process chemicals that may end up in manufacturing effluent or be otherwise released. </w:t>
      </w:r>
    </w:p>
    <w:p w14:paraId="3C827D28" w14:textId="60F8A7A4" w:rsidR="003F09FF" w:rsidRPr="003F09FF" w:rsidRDefault="003F09FF" w:rsidP="003F09FF">
      <w:pPr>
        <w:pStyle w:val="NoSpacing"/>
        <w:rPr>
          <w:rFonts w:ascii="Arial" w:hAnsi="Arial" w:cs="Arial"/>
          <w:sz w:val="20"/>
          <w:szCs w:val="20"/>
        </w:rPr>
      </w:pPr>
      <w:r w:rsidRPr="003F09FF">
        <w:rPr>
          <w:rFonts w:ascii="Arial" w:hAnsi="Arial" w:cs="Arial"/>
          <w:sz w:val="20"/>
          <w:szCs w:val="20"/>
          <w:u w:val="single"/>
        </w:rPr>
        <w:t>Chemical hazard assessment</w:t>
      </w:r>
      <w:r>
        <w:rPr>
          <w:rFonts w:ascii="Arial" w:hAnsi="Arial" w:cs="Arial"/>
          <w:sz w:val="20"/>
          <w:szCs w:val="20"/>
        </w:rPr>
        <w:t xml:space="preserve"> </w:t>
      </w:r>
      <w:r w:rsidRPr="003F09FF">
        <w:rPr>
          <w:rFonts w:ascii="Arial" w:hAnsi="Arial" w:cs="Arial"/>
          <w:sz w:val="20"/>
          <w:szCs w:val="20"/>
        </w:rPr>
        <w:t xml:space="preserve">refers to the process of identifying product constituents; collecting, developing, and evaluating data on human health and environmental endpoints such as carcinogenicity, </w:t>
      </w:r>
      <w:r w:rsidRPr="003F09FF">
        <w:rPr>
          <w:rFonts w:ascii="Arial" w:hAnsi="Arial" w:cs="Arial"/>
          <w:sz w:val="20"/>
          <w:szCs w:val="20"/>
        </w:rPr>
        <w:lastRenderedPageBreak/>
        <w:t xml:space="preserve">reproductive toxicity, neurotoxicity, aquatic toxicity, and persistence; and identifying potential hazards. This process allows for comparisons of alternatives to determine relative “greenness” and safety. The process also identifies areas for improvement. Chemical hazard assessments, focused on inherent risks of chemicals, do not </w:t>
      </w:r>
      <w:proofErr w:type="gramStart"/>
      <w:r w:rsidRPr="003F09FF">
        <w:rPr>
          <w:rFonts w:ascii="Arial" w:hAnsi="Arial" w:cs="Arial"/>
          <w:sz w:val="20"/>
          <w:szCs w:val="20"/>
        </w:rPr>
        <w:t>take into account</w:t>
      </w:r>
      <w:proofErr w:type="gramEnd"/>
      <w:r w:rsidRPr="003F09FF">
        <w:rPr>
          <w:rFonts w:ascii="Arial" w:hAnsi="Arial" w:cs="Arial"/>
          <w:sz w:val="20"/>
          <w:szCs w:val="20"/>
        </w:rPr>
        <w:t xml:space="preserve"> exposure scenarios as a more in-depth and lengthy risk assessment would. </w:t>
      </w:r>
    </w:p>
    <w:p w14:paraId="6BC96CBA" w14:textId="7D53613D" w:rsidR="003F09FF" w:rsidRPr="003F09FF" w:rsidRDefault="003F09FF" w:rsidP="003F09FF">
      <w:pPr>
        <w:pStyle w:val="NoSpacing"/>
        <w:rPr>
          <w:rFonts w:ascii="Arial" w:hAnsi="Arial" w:cs="Arial"/>
          <w:sz w:val="20"/>
          <w:szCs w:val="20"/>
        </w:rPr>
      </w:pPr>
    </w:p>
    <w:p w14:paraId="491D2C4F" w14:textId="35C3174F" w:rsidR="00F206DC" w:rsidRPr="00A23A6A" w:rsidRDefault="00F206DC" w:rsidP="00F206DC">
      <w:pPr>
        <w:pStyle w:val="NoSpacing"/>
        <w:spacing w:line="276" w:lineRule="auto"/>
        <w:rPr>
          <w:rFonts w:ascii="Arial" w:hAnsi="Arial" w:cs="Arial"/>
          <w:sz w:val="20"/>
          <w:szCs w:val="20"/>
        </w:rPr>
      </w:pPr>
      <w:r w:rsidRPr="00A23A6A">
        <w:rPr>
          <w:rFonts w:ascii="Arial" w:hAnsi="Arial" w:cs="Arial"/>
          <w:color w:val="FF0000"/>
          <w:sz w:val="20"/>
          <w:szCs w:val="20"/>
        </w:rPr>
        <w:t>[If pursuing Option 1 only, all text below this point may be deleted, up until the ‘</w:t>
      </w:r>
      <w:r w:rsidR="00886D52">
        <w:rPr>
          <w:rFonts w:ascii="Arial" w:hAnsi="Arial" w:cs="Arial"/>
          <w:color w:val="FF0000"/>
          <w:sz w:val="20"/>
          <w:szCs w:val="20"/>
        </w:rPr>
        <w:t xml:space="preserve">Disclosure </w:t>
      </w:r>
      <w:r w:rsidR="008A5DA4">
        <w:rPr>
          <w:rFonts w:ascii="Arial" w:hAnsi="Arial" w:cs="Arial"/>
          <w:color w:val="FF0000"/>
          <w:sz w:val="20"/>
          <w:szCs w:val="20"/>
        </w:rPr>
        <w:t>Documentation Guidance</w:t>
      </w:r>
      <w:r w:rsidRPr="00A23A6A">
        <w:rPr>
          <w:rFonts w:ascii="Arial" w:hAnsi="Arial" w:cs="Arial"/>
          <w:color w:val="FF0000"/>
          <w:sz w:val="20"/>
          <w:szCs w:val="20"/>
        </w:rPr>
        <w:t xml:space="preserve">…’ </w:t>
      </w:r>
      <w:r w:rsidR="008A5DA4">
        <w:rPr>
          <w:rFonts w:ascii="Arial" w:hAnsi="Arial" w:cs="Arial"/>
          <w:color w:val="FF0000"/>
          <w:sz w:val="20"/>
          <w:szCs w:val="20"/>
        </w:rPr>
        <w:t>section</w:t>
      </w:r>
      <w:r w:rsidRPr="00A23A6A">
        <w:rPr>
          <w:rFonts w:ascii="Arial" w:hAnsi="Arial" w:cs="Arial"/>
          <w:color w:val="FF0000"/>
          <w:sz w:val="20"/>
          <w:szCs w:val="20"/>
        </w:rPr>
        <w:t>]</w:t>
      </w:r>
    </w:p>
    <w:p w14:paraId="7F39B933" w14:textId="77777777" w:rsidR="00F206DC" w:rsidRPr="00A23A6A" w:rsidRDefault="00F206DC" w:rsidP="00F206DC">
      <w:pPr>
        <w:pStyle w:val="NoSpacing"/>
        <w:spacing w:line="276" w:lineRule="auto"/>
        <w:rPr>
          <w:rFonts w:ascii="Arial" w:hAnsi="Arial" w:cs="Arial"/>
          <w:sz w:val="20"/>
          <w:szCs w:val="20"/>
        </w:rPr>
      </w:pPr>
    </w:p>
    <w:p w14:paraId="0F2D1B87" w14:textId="77777777" w:rsidR="00A23A6A" w:rsidRPr="00A23A6A" w:rsidRDefault="00A23A6A" w:rsidP="00A23A6A">
      <w:pPr>
        <w:pStyle w:val="NoSpacing"/>
        <w:spacing w:line="276" w:lineRule="auto"/>
        <w:rPr>
          <w:rFonts w:ascii="Arial" w:hAnsi="Arial" w:cs="Arial"/>
          <w:sz w:val="20"/>
          <w:szCs w:val="20"/>
        </w:rPr>
      </w:pPr>
      <w:r w:rsidRPr="00A23A6A">
        <w:rPr>
          <w:rFonts w:ascii="Arial" w:hAnsi="Arial" w:cs="Arial"/>
          <w:sz w:val="20"/>
          <w:szCs w:val="20"/>
        </w:rPr>
        <w:t xml:space="preserve">To demonstrate to GBCI that the requirements are met for this credit, please email the following documentation to </w:t>
      </w:r>
      <w:r w:rsidRPr="00A23A6A">
        <w:rPr>
          <w:rFonts w:ascii="Arial" w:hAnsi="Arial" w:cs="Arial"/>
          <w:color w:val="FF0000"/>
          <w:sz w:val="20"/>
          <w:szCs w:val="20"/>
        </w:rPr>
        <w:t xml:space="preserve">[NAME AND COMPANY OF SITES PROJECT ADMINISTRATOR] </w:t>
      </w:r>
      <w:r w:rsidRPr="00A23A6A">
        <w:rPr>
          <w:rFonts w:ascii="Arial" w:hAnsi="Arial" w:cs="Arial"/>
          <w:sz w:val="20"/>
          <w:szCs w:val="20"/>
        </w:rPr>
        <w:t xml:space="preserve">at </w:t>
      </w:r>
      <w:r w:rsidRPr="00A23A6A">
        <w:rPr>
          <w:rFonts w:ascii="Arial" w:hAnsi="Arial" w:cs="Arial"/>
          <w:color w:val="FF0000"/>
          <w:sz w:val="20"/>
          <w:szCs w:val="20"/>
        </w:rPr>
        <w:t xml:space="preserve">[EMAIL ADDRESS] </w:t>
      </w:r>
      <w:r w:rsidRPr="00A23A6A">
        <w:rPr>
          <w:rFonts w:ascii="Arial" w:hAnsi="Arial" w:cs="Arial"/>
          <w:sz w:val="20"/>
          <w:szCs w:val="20"/>
        </w:rPr>
        <w:t xml:space="preserve">by </w:t>
      </w:r>
      <w:r w:rsidRPr="00A23A6A">
        <w:rPr>
          <w:rFonts w:ascii="Arial" w:hAnsi="Arial" w:cs="Arial"/>
          <w:color w:val="FF0000"/>
          <w:sz w:val="20"/>
          <w:szCs w:val="20"/>
        </w:rPr>
        <w:t xml:space="preserve">[DATE] </w:t>
      </w:r>
      <w:r w:rsidRPr="00A23A6A">
        <w:rPr>
          <w:rFonts w:ascii="Arial" w:hAnsi="Arial" w:cs="Arial"/>
          <w:sz w:val="20"/>
          <w:szCs w:val="20"/>
        </w:rPr>
        <w:t xml:space="preserve">along with a copy of this letter, indicating which documents are provided by checking the appropriate box. </w:t>
      </w:r>
    </w:p>
    <w:p w14:paraId="5085BD38" w14:textId="77777777" w:rsidR="00A23A6A" w:rsidRPr="00A23A6A" w:rsidRDefault="00A23A6A" w:rsidP="00A23A6A">
      <w:pPr>
        <w:pStyle w:val="NoSpacing"/>
        <w:spacing w:line="276" w:lineRule="auto"/>
        <w:rPr>
          <w:rFonts w:ascii="Arial" w:hAnsi="Arial" w:cs="Arial"/>
          <w:sz w:val="20"/>
          <w:szCs w:val="20"/>
        </w:rPr>
      </w:pPr>
    </w:p>
    <w:p w14:paraId="48479663" w14:textId="77037512" w:rsidR="00A23A6A" w:rsidRPr="00A23A6A" w:rsidRDefault="00A23A6A" w:rsidP="00A23A6A">
      <w:pPr>
        <w:rPr>
          <w:rFonts w:ascii="Arial" w:hAnsi="Arial" w:cs="Arial"/>
          <w:b/>
          <w:sz w:val="20"/>
          <w:szCs w:val="20"/>
        </w:rPr>
      </w:pPr>
      <w:r w:rsidRPr="00A23A6A">
        <w:rPr>
          <w:rFonts w:ascii="Arial" w:hAnsi="Arial" w:cs="Arial"/>
          <w:b/>
          <w:sz w:val="20"/>
          <w:szCs w:val="20"/>
        </w:rPr>
        <w:t>To help us achieve 3 points for Option 2, please provide the following:</w:t>
      </w:r>
    </w:p>
    <w:p w14:paraId="2DEB8B43" w14:textId="23E6762D" w:rsidR="00A23A6A" w:rsidRDefault="00A23A6A" w:rsidP="00A23A6A">
      <w:pPr>
        <w:pStyle w:val="ListParagraph"/>
        <w:numPr>
          <w:ilvl w:val="0"/>
          <w:numId w:val="19"/>
        </w:numPr>
        <w:rPr>
          <w:rFonts w:ascii="Arial" w:hAnsi="Arial" w:cs="Arial"/>
          <w:sz w:val="20"/>
          <w:szCs w:val="20"/>
        </w:rPr>
      </w:pPr>
      <w:r w:rsidRPr="00A23A6A">
        <w:rPr>
          <w:rFonts w:ascii="Arial" w:hAnsi="Arial" w:cs="Arial"/>
          <w:sz w:val="20"/>
          <w:szCs w:val="20"/>
        </w:rPr>
        <w:t>Documentation demonstrating disclosure of material chemistry, including GHS-compliant</w:t>
      </w:r>
      <w:r w:rsidR="005C15B6">
        <w:rPr>
          <w:rFonts w:ascii="Arial" w:hAnsi="Arial" w:cs="Arial"/>
          <w:sz w:val="20"/>
          <w:szCs w:val="20"/>
        </w:rPr>
        <w:t xml:space="preserve"> (</w:t>
      </w:r>
      <w:r w:rsidR="005C15B6" w:rsidRPr="005C15B6">
        <w:rPr>
          <w:rFonts w:ascii="Arial" w:hAnsi="Arial" w:cs="Arial"/>
          <w:sz w:val="20"/>
          <w:szCs w:val="20"/>
        </w:rPr>
        <w:t>https://www.osha.gov/dsg/hazcom/ghsguideoct05.pdf</w:t>
      </w:r>
      <w:r w:rsidR="005C15B6">
        <w:rPr>
          <w:rFonts w:ascii="Arial" w:hAnsi="Arial" w:cs="Arial"/>
          <w:sz w:val="20"/>
          <w:szCs w:val="20"/>
        </w:rPr>
        <w:t>)</w:t>
      </w:r>
      <w:r w:rsidRPr="00A23A6A">
        <w:rPr>
          <w:rFonts w:ascii="Arial" w:hAnsi="Arial" w:cs="Arial"/>
          <w:sz w:val="20"/>
          <w:szCs w:val="20"/>
        </w:rPr>
        <w:t>, or otherwise complete Safety Data Sheets, and chemical safety reports</w:t>
      </w:r>
      <w:r w:rsidR="00956F02">
        <w:rPr>
          <w:rFonts w:ascii="Arial" w:hAnsi="Arial" w:cs="Arial"/>
          <w:sz w:val="20"/>
          <w:szCs w:val="20"/>
        </w:rPr>
        <w:t xml:space="preserve"> for</w:t>
      </w:r>
      <w:r w:rsidR="008A5DA4">
        <w:rPr>
          <w:rFonts w:ascii="Arial" w:hAnsi="Arial" w:cs="Arial"/>
          <w:sz w:val="20"/>
          <w:szCs w:val="20"/>
        </w:rPr>
        <w:t xml:space="preserve"> five percent or more of</w:t>
      </w:r>
      <w:r w:rsidR="00956F02">
        <w:rPr>
          <w:rFonts w:ascii="Arial" w:hAnsi="Arial" w:cs="Arial"/>
          <w:sz w:val="20"/>
          <w:szCs w:val="20"/>
        </w:rPr>
        <w:t xml:space="preserve"> the products listed above</w:t>
      </w:r>
      <w:r w:rsidRPr="00A23A6A">
        <w:rPr>
          <w:rFonts w:ascii="Arial" w:hAnsi="Arial" w:cs="Arial"/>
          <w:sz w:val="20"/>
          <w:szCs w:val="20"/>
        </w:rPr>
        <w:t xml:space="preserve">. </w:t>
      </w:r>
      <w:r w:rsidR="005C15B6">
        <w:rPr>
          <w:rFonts w:ascii="Arial" w:hAnsi="Arial" w:cs="Arial"/>
          <w:sz w:val="20"/>
          <w:szCs w:val="20"/>
        </w:rPr>
        <w:t>This includes:</w:t>
      </w:r>
    </w:p>
    <w:p w14:paraId="35408D5B" w14:textId="77777777" w:rsidR="005C15B6" w:rsidRPr="00A23A6A" w:rsidRDefault="005C15B6" w:rsidP="005C15B6">
      <w:pPr>
        <w:pStyle w:val="NoSpacing"/>
        <w:numPr>
          <w:ilvl w:val="1"/>
          <w:numId w:val="19"/>
        </w:numPr>
        <w:spacing w:line="276" w:lineRule="auto"/>
        <w:rPr>
          <w:rFonts w:ascii="Arial" w:hAnsi="Arial" w:cs="Arial"/>
          <w:sz w:val="20"/>
          <w:szCs w:val="20"/>
        </w:rPr>
      </w:pPr>
      <w:r w:rsidRPr="00A23A6A">
        <w:rPr>
          <w:rFonts w:ascii="Arial" w:hAnsi="Arial" w:cs="Arial"/>
          <w:sz w:val="20"/>
          <w:szCs w:val="20"/>
        </w:rPr>
        <w:t xml:space="preserve">Chemical inventories covering all chemicals, whether used intentionally or otherwise known to be present, in all life cycle stages of the product </w:t>
      </w:r>
    </w:p>
    <w:p w14:paraId="087BB706" w14:textId="77777777" w:rsidR="005C15B6" w:rsidRPr="00A23A6A" w:rsidRDefault="005C15B6" w:rsidP="005C15B6">
      <w:pPr>
        <w:pStyle w:val="NoSpacing"/>
        <w:spacing w:line="276" w:lineRule="auto"/>
        <w:ind w:left="1440"/>
        <w:rPr>
          <w:rFonts w:ascii="Arial" w:hAnsi="Arial" w:cs="Arial"/>
          <w:sz w:val="20"/>
          <w:szCs w:val="20"/>
        </w:rPr>
      </w:pPr>
    </w:p>
    <w:p w14:paraId="0D29284A" w14:textId="77777777" w:rsidR="005C15B6" w:rsidRPr="00A23A6A" w:rsidRDefault="005C15B6" w:rsidP="005C15B6">
      <w:pPr>
        <w:pStyle w:val="NoSpacing"/>
        <w:spacing w:line="276" w:lineRule="auto"/>
        <w:ind w:left="1440"/>
        <w:rPr>
          <w:rFonts w:ascii="Arial" w:hAnsi="Arial" w:cs="Arial"/>
          <w:sz w:val="20"/>
          <w:szCs w:val="20"/>
        </w:rPr>
      </w:pPr>
      <w:r w:rsidRPr="00A23A6A">
        <w:rPr>
          <w:rFonts w:ascii="Arial" w:hAnsi="Arial" w:cs="Arial"/>
          <w:sz w:val="20"/>
          <w:szCs w:val="20"/>
        </w:rPr>
        <w:t>In cases where the compilation of a complete chemical inventory is not feasible, the inventory requirements should cover chemicals and their life cycle stages thought to present the greatest hazards to workers, consumers, the general population, and environmental species.</w:t>
      </w:r>
    </w:p>
    <w:p w14:paraId="7EFB60D1" w14:textId="77777777" w:rsidR="005C15B6" w:rsidRPr="00A23A6A" w:rsidRDefault="005C15B6" w:rsidP="005C15B6">
      <w:pPr>
        <w:pStyle w:val="NoSpacing"/>
        <w:spacing w:line="276" w:lineRule="auto"/>
        <w:rPr>
          <w:rFonts w:ascii="Arial" w:hAnsi="Arial" w:cs="Arial"/>
          <w:sz w:val="20"/>
          <w:szCs w:val="20"/>
        </w:rPr>
      </w:pPr>
    </w:p>
    <w:p w14:paraId="0CBE2C23" w14:textId="77777777" w:rsidR="005C15B6" w:rsidRPr="00A23A6A" w:rsidRDefault="005C15B6" w:rsidP="005C15B6">
      <w:pPr>
        <w:pStyle w:val="NoSpacing"/>
        <w:numPr>
          <w:ilvl w:val="1"/>
          <w:numId w:val="19"/>
        </w:numPr>
        <w:spacing w:line="276" w:lineRule="auto"/>
        <w:rPr>
          <w:rFonts w:ascii="Arial" w:hAnsi="Arial" w:cs="Arial"/>
          <w:sz w:val="20"/>
          <w:szCs w:val="20"/>
        </w:rPr>
      </w:pPr>
      <w:r w:rsidRPr="00A23A6A">
        <w:rPr>
          <w:rFonts w:ascii="Arial" w:hAnsi="Arial" w:cs="Arial"/>
          <w:sz w:val="20"/>
          <w:szCs w:val="20"/>
        </w:rPr>
        <w:t xml:space="preserve">A report of all known hazards and their concentrations regardless of whether the chemical’s presence in the product or process is intentional. This </w:t>
      </w:r>
      <w:proofErr w:type="gramStart"/>
      <w:r w:rsidRPr="00A23A6A">
        <w:rPr>
          <w:rFonts w:ascii="Arial" w:hAnsi="Arial" w:cs="Arial"/>
          <w:sz w:val="20"/>
          <w:szCs w:val="20"/>
        </w:rPr>
        <w:t>reporting</w:t>
      </w:r>
      <w:proofErr w:type="gramEnd"/>
      <w:r w:rsidRPr="00A23A6A">
        <w:rPr>
          <w:rFonts w:ascii="Arial" w:hAnsi="Arial" w:cs="Arial"/>
          <w:sz w:val="20"/>
          <w:szCs w:val="20"/>
        </w:rPr>
        <w:t xml:space="preserve"> includes the identification of any impurities, byproducts, and emissions from finished products or product curing steps.</w:t>
      </w:r>
    </w:p>
    <w:p w14:paraId="5C81D57A" w14:textId="77777777" w:rsidR="00CE03A4" w:rsidRDefault="00CE03A4" w:rsidP="00956F02">
      <w:pPr>
        <w:pStyle w:val="NoSpacing"/>
        <w:spacing w:line="276" w:lineRule="auto"/>
        <w:rPr>
          <w:rFonts w:ascii="Arial" w:hAnsi="Arial" w:cs="Arial"/>
          <w:b/>
          <w:sz w:val="20"/>
          <w:szCs w:val="20"/>
        </w:rPr>
      </w:pPr>
    </w:p>
    <w:p w14:paraId="33CF1822" w14:textId="77777777" w:rsidR="00956F02" w:rsidRPr="0018563C" w:rsidRDefault="00956F02" w:rsidP="00956F02">
      <w:pPr>
        <w:pStyle w:val="NoSpacing"/>
        <w:spacing w:line="276" w:lineRule="auto"/>
        <w:rPr>
          <w:rFonts w:ascii="Arial" w:hAnsi="Arial" w:cs="Arial"/>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achieve 5 points for Option 3, please provide the following:</w:t>
      </w:r>
    </w:p>
    <w:p w14:paraId="2ADD931D" w14:textId="77777777" w:rsidR="00956F02" w:rsidRPr="0018563C" w:rsidRDefault="00956F02" w:rsidP="00956F02">
      <w:pPr>
        <w:pStyle w:val="NoSpacing"/>
        <w:spacing w:line="276" w:lineRule="auto"/>
        <w:rPr>
          <w:rFonts w:ascii="Arial" w:hAnsi="Arial" w:cs="Arial"/>
          <w:sz w:val="20"/>
          <w:szCs w:val="20"/>
        </w:rPr>
      </w:pPr>
    </w:p>
    <w:p w14:paraId="2CA76ED5" w14:textId="36D1175A" w:rsidR="00956F02" w:rsidRDefault="00956F02" w:rsidP="00956F02">
      <w:pPr>
        <w:pStyle w:val="NoSpacing"/>
        <w:numPr>
          <w:ilvl w:val="0"/>
          <w:numId w:val="2"/>
        </w:numPr>
        <w:rPr>
          <w:rFonts w:ascii="Arial" w:hAnsi="Arial" w:cs="Arial"/>
          <w:sz w:val="20"/>
          <w:szCs w:val="20"/>
        </w:rPr>
      </w:pPr>
      <w:r>
        <w:rPr>
          <w:rFonts w:ascii="Arial" w:hAnsi="Arial" w:cs="Arial"/>
          <w:sz w:val="20"/>
          <w:szCs w:val="20"/>
        </w:rPr>
        <w:t xml:space="preserve">Documentation </w:t>
      </w:r>
      <w:r w:rsidR="005F0728">
        <w:rPr>
          <w:rFonts w:ascii="Arial" w:hAnsi="Arial" w:cs="Arial"/>
          <w:sz w:val="20"/>
          <w:szCs w:val="20"/>
        </w:rPr>
        <w:t>for Option 2</w:t>
      </w:r>
      <w:r w:rsidR="00F215AC">
        <w:rPr>
          <w:rFonts w:ascii="Arial" w:hAnsi="Arial" w:cs="Arial"/>
          <w:sz w:val="20"/>
          <w:szCs w:val="20"/>
        </w:rPr>
        <w:t>,</w:t>
      </w:r>
      <w:r w:rsidR="005F0728">
        <w:rPr>
          <w:rFonts w:ascii="Arial" w:hAnsi="Arial" w:cs="Arial"/>
          <w:sz w:val="20"/>
          <w:szCs w:val="20"/>
        </w:rPr>
        <w:t xml:space="preserve"> AND</w:t>
      </w:r>
    </w:p>
    <w:p w14:paraId="28BEAE29" w14:textId="77777777" w:rsidR="005F0728" w:rsidRPr="00956F02" w:rsidRDefault="005F0728" w:rsidP="005F0728">
      <w:pPr>
        <w:pStyle w:val="NoSpacing"/>
        <w:ind w:left="720"/>
        <w:rPr>
          <w:rFonts w:ascii="Arial" w:hAnsi="Arial" w:cs="Arial"/>
          <w:sz w:val="20"/>
          <w:szCs w:val="20"/>
        </w:rPr>
      </w:pPr>
    </w:p>
    <w:p w14:paraId="6A788295" w14:textId="22CE543E" w:rsidR="00956F02" w:rsidRPr="00956F02" w:rsidRDefault="00956F02" w:rsidP="00956F02">
      <w:pPr>
        <w:pStyle w:val="NoSpacing"/>
        <w:numPr>
          <w:ilvl w:val="0"/>
          <w:numId w:val="2"/>
        </w:numPr>
        <w:rPr>
          <w:rFonts w:ascii="Arial" w:hAnsi="Arial" w:cs="Arial"/>
          <w:sz w:val="20"/>
          <w:szCs w:val="20"/>
        </w:rPr>
      </w:pPr>
      <w:r w:rsidRPr="008A5DA4">
        <w:rPr>
          <w:rFonts w:ascii="Arial" w:hAnsi="Arial" w:cs="Arial"/>
          <w:bCs/>
          <w:sz w:val="20"/>
          <w:szCs w:val="20"/>
        </w:rPr>
        <w:t>Completed chemical hazard assessments</w:t>
      </w:r>
      <w:r w:rsidRPr="00956F02">
        <w:rPr>
          <w:rFonts w:ascii="Arial" w:hAnsi="Arial" w:cs="Arial"/>
          <w:bCs/>
          <w:sz w:val="20"/>
          <w:szCs w:val="20"/>
        </w:rPr>
        <w:t xml:space="preserve"> from one of the following screening-level hazard assessment tools</w:t>
      </w:r>
      <w:r w:rsidR="005C15B6">
        <w:rPr>
          <w:rFonts w:ascii="Arial" w:hAnsi="Arial" w:cs="Arial"/>
          <w:bCs/>
          <w:sz w:val="20"/>
          <w:szCs w:val="20"/>
        </w:rPr>
        <w:t xml:space="preserve"> for five percent or more of the products using:</w:t>
      </w:r>
      <w:r w:rsidRPr="00956F02">
        <w:rPr>
          <w:rFonts w:ascii="Arial" w:hAnsi="Arial" w:cs="Arial"/>
          <w:bCs/>
          <w:sz w:val="20"/>
          <w:szCs w:val="20"/>
        </w:rPr>
        <w:t xml:space="preserve"> </w:t>
      </w:r>
    </w:p>
    <w:p w14:paraId="35129629" w14:textId="77777777" w:rsidR="00956F02" w:rsidRPr="00956F02" w:rsidRDefault="00956F02" w:rsidP="00956F02">
      <w:pPr>
        <w:pStyle w:val="NoSpacing"/>
        <w:ind w:left="720"/>
        <w:rPr>
          <w:rFonts w:ascii="Arial" w:hAnsi="Arial" w:cs="Arial"/>
          <w:sz w:val="20"/>
          <w:szCs w:val="20"/>
        </w:rPr>
      </w:pPr>
    </w:p>
    <w:p w14:paraId="2C3676BB" w14:textId="77777777" w:rsidR="00956F02" w:rsidRPr="00956F02" w:rsidRDefault="00956F02" w:rsidP="00956F02">
      <w:pPr>
        <w:pStyle w:val="NoSpacing"/>
        <w:numPr>
          <w:ilvl w:val="1"/>
          <w:numId w:val="21"/>
        </w:numPr>
        <w:rPr>
          <w:rFonts w:ascii="Arial" w:hAnsi="Arial" w:cs="Arial"/>
          <w:bCs/>
          <w:sz w:val="20"/>
          <w:szCs w:val="20"/>
        </w:rPr>
      </w:pPr>
      <w:proofErr w:type="spellStart"/>
      <w:r w:rsidRPr="00956F02">
        <w:rPr>
          <w:rFonts w:ascii="Arial" w:hAnsi="Arial" w:cs="Arial"/>
          <w:bCs/>
          <w:sz w:val="20"/>
          <w:szCs w:val="20"/>
        </w:rPr>
        <w:t>BizNGO’s</w:t>
      </w:r>
      <w:proofErr w:type="spellEnd"/>
      <w:r w:rsidRPr="00956F02">
        <w:rPr>
          <w:rFonts w:ascii="Arial" w:hAnsi="Arial" w:cs="Arial"/>
          <w:bCs/>
          <w:sz w:val="20"/>
          <w:szCs w:val="20"/>
        </w:rPr>
        <w:t xml:space="preserve"> Chemical Alternatives Assessment Protocol</w:t>
      </w:r>
    </w:p>
    <w:p w14:paraId="4075AD4A" w14:textId="77777777" w:rsidR="00956F02" w:rsidRPr="00956F02" w:rsidRDefault="00956F02" w:rsidP="00956F02">
      <w:pPr>
        <w:pStyle w:val="NoSpacing"/>
        <w:numPr>
          <w:ilvl w:val="1"/>
          <w:numId w:val="21"/>
        </w:numPr>
        <w:rPr>
          <w:rFonts w:ascii="Arial" w:hAnsi="Arial" w:cs="Arial"/>
          <w:bCs/>
          <w:sz w:val="20"/>
          <w:szCs w:val="20"/>
        </w:rPr>
      </w:pPr>
      <w:proofErr w:type="spellStart"/>
      <w:r w:rsidRPr="00956F02">
        <w:rPr>
          <w:rFonts w:ascii="Arial" w:hAnsi="Arial" w:cs="Arial"/>
          <w:bCs/>
          <w:sz w:val="20"/>
          <w:szCs w:val="20"/>
        </w:rPr>
        <w:t>GreenScreen</w:t>
      </w:r>
      <w:proofErr w:type="spellEnd"/>
      <w:r w:rsidRPr="00956F02">
        <w:rPr>
          <w:rFonts w:ascii="Arial" w:hAnsi="Arial" w:cs="Arial"/>
          <w:bCs/>
          <w:sz w:val="20"/>
          <w:szCs w:val="20"/>
        </w:rPr>
        <w:t xml:space="preserve"> for Safer Chemicals</w:t>
      </w:r>
    </w:p>
    <w:p w14:paraId="7D85C30D"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U.S. EPA’s DfE Alternatives Assessment Criteria for Hazard Evaluation</w:t>
      </w:r>
    </w:p>
    <w:p w14:paraId="0F98BB64" w14:textId="77777777" w:rsidR="00956F02" w:rsidRPr="00956F02" w:rsidRDefault="00956F02" w:rsidP="00956F02">
      <w:pPr>
        <w:pStyle w:val="NoSpacing"/>
        <w:numPr>
          <w:ilvl w:val="1"/>
          <w:numId w:val="21"/>
        </w:numPr>
        <w:rPr>
          <w:rFonts w:ascii="Arial" w:hAnsi="Arial" w:cs="Arial"/>
          <w:bCs/>
          <w:sz w:val="20"/>
          <w:szCs w:val="20"/>
        </w:rPr>
      </w:pPr>
      <w:r w:rsidRPr="00956F02">
        <w:rPr>
          <w:rFonts w:ascii="Arial" w:hAnsi="Arial" w:cs="Arial"/>
          <w:bCs/>
          <w:sz w:val="20"/>
          <w:szCs w:val="20"/>
        </w:rPr>
        <w:t>U.S. EPA’s Sustainable Futures tool suite (to be used only when measured data is not available)</w:t>
      </w:r>
    </w:p>
    <w:p w14:paraId="53D7E23B" w14:textId="11048F74" w:rsidR="001B395D" w:rsidRPr="001B395D" w:rsidRDefault="00956F02" w:rsidP="001B395D">
      <w:pPr>
        <w:pStyle w:val="NoSpacing"/>
        <w:numPr>
          <w:ilvl w:val="1"/>
          <w:numId w:val="21"/>
        </w:numPr>
        <w:rPr>
          <w:rFonts w:ascii="Arial" w:hAnsi="Arial" w:cs="Arial"/>
          <w:sz w:val="20"/>
          <w:szCs w:val="20"/>
        </w:rPr>
      </w:pPr>
      <w:r w:rsidRPr="00956F02">
        <w:rPr>
          <w:rFonts w:ascii="Arial" w:hAnsi="Arial" w:cs="Arial"/>
          <w:bCs/>
          <w:sz w:val="20"/>
          <w:szCs w:val="20"/>
        </w:rPr>
        <w:t>An equivalent robust hazard assessment strategy using recognized and reliable data sources</w:t>
      </w:r>
      <w:r w:rsidR="001B4433">
        <w:rPr>
          <w:rFonts w:ascii="Arial" w:hAnsi="Arial" w:cs="Arial"/>
          <w:bCs/>
          <w:sz w:val="20"/>
          <w:szCs w:val="20"/>
        </w:rPr>
        <w:t>.</w:t>
      </w:r>
    </w:p>
    <w:p w14:paraId="7BE77EBC" w14:textId="77777777" w:rsidR="00CE03A4" w:rsidRDefault="00CE03A4" w:rsidP="001842FF">
      <w:pPr>
        <w:rPr>
          <w:rFonts w:ascii="Arial" w:hAnsi="Arial" w:cs="Arial"/>
          <w:b/>
          <w:sz w:val="20"/>
          <w:szCs w:val="20"/>
        </w:rPr>
      </w:pPr>
    </w:p>
    <w:p w14:paraId="20C9352D" w14:textId="3DD0A3AE" w:rsidR="006015E4" w:rsidRPr="00F215AC" w:rsidRDefault="00A4648A" w:rsidP="001842FF">
      <w:pPr>
        <w:rPr>
          <w:rFonts w:ascii="Arial" w:hAnsi="Arial" w:cs="Arial"/>
          <w:b/>
          <w:sz w:val="20"/>
          <w:szCs w:val="20"/>
        </w:rPr>
      </w:pPr>
      <w:r>
        <w:rPr>
          <w:rFonts w:ascii="Arial" w:hAnsi="Arial" w:cs="Arial"/>
          <w:b/>
          <w:sz w:val="20"/>
          <w:szCs w:val="20"/>
        </w:rPr>
        <w:t xml:space="preserve">Disclosure </w:t>
      </w:r>
      <w:r w:rsidR="00132CE4" w:rsidRPr="00F215AC">
        <w:rPr>
          <w:rFonts w:ascii="Arial" w:hAnsi="Arial" w:cs="Arial"/>
          <w:b/>
          <w:sz w:val="20"/>
          <w:szCs w:val="20"/>
        </w:rPr>
        <w:t>Documentation Guidance</w:t>
      </w:r>
    </w:p>
    <w:p w14:paraId="23BEC4E8" w14:textId="780F5ECC" w:rsidR="00132CE4" w:rsidRPr="00A23A6A" w:rsidRDefault="008A5DA4" w:rsidP="001842FF">
      <w:pPr>
        <w:rPr>
          <w:rFonts w:ascii="Arial" w:hAnsi="Arial" w:cs="Arial"/>
          <w:sz w:val="20"/>
          <w:szCs w:val="20"/>
        </w:rPr>
      </w:pPr>
      <w:r>
        <w:rPr>
          <w:rFonts w:ascii="Arial" w:hAnsi="Arial" w:cs="Arial"/>
          <w:sz w:val="20"/>
          <w:szCs w:val="20"/>
        </w:rPr>
        <w:t xml:space="preserve">All </w:t>
      </w:r>
      <w:r w:rsidR="00FA5F5E">
        <w:rPr>
          <w:rFonts w:ascii="Arial" w:hAnsi="Arial" w:cs="Arial"/>
          <w:sz w:val="20"/>
          <w:szCs w:val="20"/>
        </w:rPr>
        <w:t>disclosures</w:t>
      </w:r>
      <w:r w:rsidR="00A4648A">
        <w:rPr>
          <w:rFonts w:ascii="Arial" w:hAnsi="Arial" w:cs="Arial"/>
          <w:sz w:val="20"/>
          <w:szCs w:val="20"/>
        </w:rPr>
        <w:t xml:space="preserve"> must </w:t>
      </w:r>
      <w:r w:rsidR="00132CE4" w:rsidRPr="00A23A6A">
        <w:rPr>
          <w:rFonts w:ascii="Arial" w:hAnsi="Arial" w:cs="Arial"/>
          <w:sz w:val="20"/>
          <w:szCs w:val="20"/>
        </w:rPr>
        <w:t>adhere to the following standards:</w:t>
      </w:r>
    </w:p>
    <w:p w14:paraId="667D8664" w14:textId="531F5EC4" w:rsidR="00132CE4" w:rsidRDefault="00132CE4" w:rsidP="001842FF">
      <w:pPr>
        <w:pStyle w:val="ListParagraph"/>
        <w:numPr>
          <w:ilvl w:val="0"/>
          <w:numId w:val="9"/>
        </w:numPr>
        <w:rPr>
          <w:rFonts w:ascii="Arial" w:hAnsi="Arial" w:cs="Arial"/>
          <w:sz w:val="20"/>
          <w:szCs w:val="20"/>
        </w:rPr>
      </w:pPr>
      <w:r w:rsidRPr="00A23A6A">
        <w:rPr>
          <w:rFonts w:ascii="Arial" w:hAnsi="Arial" w:cs="Arial"/>
          <w:sz w:val="20"/>
          <w:szCs w:val="20"/>
        </w:rPr>
        <w:t>Each substance should be identified by the Chemical Abstract Service (CAS) name, number, and weight percentage, and include the identification or known impurities and byproducts.</w:t>
      </w:r>
    </w:p>
    <w:p w14:paraId="0E799CEF" w14:textId="77777777" w:rsidR="00F215AC" w:rsidRPr="00A23A6A" w:rsidRDefault="00F215AC" w:rsidP="00F215AC">
      <w:pPr>
        <w:pStyle w:val="ListParagraph"/>
        <w:rPr>
          <w:rFonts w:ascii="Arial" w:hAnsi="Arial" w:cs="Arial"/>
          <w:sz w:val="20"/>
          <w:szCs w:val="20"/>
        </w:rPr>
      </w:pPr>
    </w:p>
    <w:p w14:paraId="535770D1" w14:textId="4EFB145A" w:rsidR="001B395D" w:rsidRPr="001B395D" w:rsidRDefault="00132CE4" w:rsidP="001B395D">
      <w:pPr>
        <w:pStyle w:val="ListParagraph"/>
        <w:numPr>
          <w:ilvl w:val="0"/>
          <w:numId w:val="9"/>
        </w:numPr>
        <w:rPr>
          <w:rFonts w:ascii="Arial" w:hAnsi="Arial" w:cs="Arial"/>
          <w:sz w:val="20"/>
          <w:szCs w:val="20"/>
        </w:rPr>
      </w:pPr>
      <w:r w:rsidRPr="00F215AC">
        <w:rPr>
          <w:rFonts w:ascii="Arial" w:hAnsi="Arial" w:cs="Arial"/>
          <w:sz w:val="20"/>
          <w:szCs w:val="20"/>
        </w:rPr>
        <w:t xml:space="preserve">Criteria should be consistent with federal regulations, including the U.S. Occupational Safety and Health Administration (OSHA) Occupational and Health Hazard Communication Standard (29 CFR 1910); the U.S. Consumer Production Safety Commission Consumer Product Safety Act and Federal Hazardous Substances Act; and the U.S. Federal Trade Commission laws and guidelines prohibiting deceptive acts or practices, including deceptive representations in advertising, labeling, product inserts, catalogs, and sales presentations (or local equivalent for projects outside of the United States). </w:t>
      </w:r>
    </w:p>
    <w:p w14:paraId="1148A600" w14:textId="77777777" w:rsidR="001B395D" w:rsidRDefault="001B395D" w:rsidP="001B395D">
      <w:pPr>
        <w:pStyle w:val="ListParagraph"/>
        <w:rPr>
          <w:rFonts w:ascii="Arial" w:hAnsi="Arial" w:cs="Arial"/>
          <w:sz w:val="20"/>
          <w:szCs w:val="20"/>
        </w:rPr>
      </w:pPr>
    </w:p>
    <w:p w14:paraId="4A640BC8" w14:textId="1ACA9F60" w:rsidR="00132CE4" w:rsidRPr="001B395D" w:rsidRDefault="00132CE4" w:rsidP="001B395D">
      <w:pPr>
        <w:pStyle w:val="ListParagraph"/>
        <w:numPr>
          <w:ilvl w:val="0"/>
          <w:numId w:val="9"/>
        </w:numPr>
        <w:rPr>
          <w:rFonts w:ascii="Arial" w:hAnsi="Arial" w:cs="Arial"/>
          <w:sz w:val="20"/>
          <w:szCs w:val="20"/>
        </w:rPr>
      </w:pPr>
      <w:r w:rsidRPr="001B395D">
        <w:rPr>
          <w:rFonts w:ascii="Arial" w:hAnsi="Arial" w:cs="Arial"/>
          <w:sz w:val="20"/>
          <w:szCs w:val="20"/>
        </w:rPr>
        <w:t xml:space="preserve">For products required by the U.S. OSHA to have a safety data sheet (SDS), make a comprehensive SDS, in addition to all product ingredient and warning labels as required by the Consumer Product Safety Commission. SDSs should be provided for chemical components of formulated mixtures (particularly multi-component product systems) that </w:t>
      </w:r>
      <w:r w:rsidR="001842FF" w:rsidRPr="001B395D">
        <w:rPr>
          <w:rFonts w:ascii="Arial" w:hAnsi="Arial" w:cs="Arial"/>
          <w:sz w:val="20"/>
          <w:szCs w:val="20"/>
        </w:rPr>
        <w:t>undergo</w:t>
      </w:r>
      <w:r w:rsidRPr="001B395D">
        <w:rPr>
          <w:rFonts w:ascii="Arial" w:hAnsi="Arial" w:cs="Arial"/>
          <w:sz w:val="20"/>
          <w:szCs w:val="20"/>
        </w:rPr>
        <w:t xml:space="preserve"> chemical reactions in situ. Also provide SDSs for final products resulting from such chemical reaction. </w:t>
      </w:r>
    </w:p>
    <w:p w14:paraId="60220296" w14:textId="77777777" w:rsidR="00F215AC" w:rsidRPr="00A23A6A" w:rsidRDefault="00F215AC" w:rsidP="00F215AC">
      <w:pPr>
        <w:pStyle w:val="ListParagraph"/>
        <w:rPr>
          <w:rFonts w:ascii="Arial" w:hAnsi="Arial" w:cs="Arial"/>
          <w:sz w:val="20"/>
          <w:szCs w:val="20"/>
        </w:rPr>
      </w:pPr>
    </w:p>
    <w:p w14:paraId="459AF85A" w14:textId="4E329AC0" w:rsidR="00132CE4" w:rsidRPr="00A23A6A" w:rsidRDefault="00132CE4" w:rsidP="001842FF">
      <w:pPr>
        <w:pStyle w:val="ListParagraph"/>
        <w:numPr>
          <w:ilvl w:val="0"/>
          <w:numId w:val="9"/>
        </w:numPr>
        <w:rPr>
          <w:rFonts w:ascii="Arial" w:hAnsi="Arial" w:cs="Arial"/>
          <w:sz w:val="20"/>
          <w:szCs w:val="20"/>
        </w:rPr>
      </w:pPr>
      <w:r w:rsidRPr="00A23A6A">
        <w:rPr>
          <w:rFonts w:ascii="Arial" w:hAnsi="Arial" w:cs="Arial"/>
          <w:sz w:val="20"/>
          <w:szCs w:val="20"/>
        </w:rPr>
        <w:t>For substances for which the manufacturer or supplier has developed an SDS consistent with the United Nations Globally Harmonized System of Classification and Labeling of Chemicals (GHS), only GHS-compliant SDSs will satisfy this requirement. For substances for which no GHS-compliant SDS is available, a report prepared within the previous five years in accordance with the NSF/GCI/ANSI 355 Greener Chemicals Products and Processes Information Standard shall be deemed to satisfy this requirement</w:t>
      </w:r>
      <w:r w:rsidR="00C43236" w:rsidRPr="00A23A6A">
        <w:rPr>
          <w:rFonts w:ascii="Arial" w:hAnsi="Arial" w:cs="Arial"/>
          <w:sz w:val="20"/>
          <w:szCs w:val="20"/>
        </w:rPr>
        <w:t>.</w:t>
      </w:r>
    </w:p>
    <w:p w14:paraId="5B44B546" w14:textId="4101B7F9" w:rsidR="00F206DC" w:rsidRPr="00A23A6A" w:rsidRDefault="00F206DC" w:rsidP="00F206DC">
      <w:pPr>
        <w:pStyle w:val="NoSpacing"/>
        <w:rPr>
          <w:rFonts w:ascii="Arial" w:hAnsi="Arial" w:cs="Arial"/>
          <w:sz w:val="20"/>
          <w:szCs w:val="20"/>
        </w:rPr>
      </w:pPr>
      <w:r w:rsidRPr="00A23A6A">
        <w:rPr>
          <w:rFonts w:ascii="Arial" w:hAnsi="Arial" w:cs="Arial"/>
          <w:sz w:val="20"/>
          <w:szCs w:val="20"/>
          <w:u w:val="single"/>
        </w:rPr>
        <w:t>Please note:</w:t>
      </w:r>
      <w:r w:rsidRPr="00A23A6A">
        <w:rPr>
          <w:rFonts w:ascii="Arial" w:hAnsi="Arial" w:cs="Arial"/>
          <w:sz w:val="20"/>
          <w:szCs w:val="20"/>
        </w:rPr>
        <w:t xml:space="preserve"> these requirements do not apply to products or materials that are salvaged, reused or refurbished.</w:t>
      </w:r>
    </w:p>
    <w:p w14:paraId="0E512D54" w14:textId="77777777" w:rsidR="00F206DC" w:rsidRPr="00A23A6A" w:rsidRDefault="00F206DC" w:rsidP="00C43236">
      <w:pPr>
        <w:pStyle w:val="NoSpacing"/>
        <w:spacing w:line="276" w:lineRule="auto"/>
        <w:rPr>
          <w:rFonts w:ascii="Arial" w:hAnsi="Arial" w:cs="Arial"/>
          <w:sz w:val="20"/>
          <w:szCs w:val="20"/>
        </w:rPr>
      </w:pPr>
    </w:p>
    <w:p w14:paraId="2C88FC57" w14:textId="7231374C" w:rsidR="00C43236" w:rsidRPr="00A23A6A" w:rsidRDefault="00F02F13" w:rsidP="00C43236">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Pr="00CC122B">
        <w:rPr>
          <w:rFonts w:ascii="Arial" w:hAnsi="Arial" w:cs="Arial"/>
          <w:sz w:val="20"/>
          <w:szCs w:val="20"/>
        </w:rPr>
        <w:t>from</w:t>
      </w:r>
      <w:r>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Otherwise, please email the </w:t>
      </w:r>
      <w:r>
        <w:rPr>
          <w:rFonts w:ascii="Arial" w:hAnsi="Arial" w:cs="Arial"/>
          <w:sz w:val="20"/>
          <w:szCs w:val="20"/>
        </w:rPr>
        <w:t>requested</w:t>
      </w:r>
      <w:r w:rsidRPr="0018563C">
        <w:rPr>
          <w:rFonts w:ascii="Arial" w:hAnsi="Arial" w:cs="Arial"/>
          <w:sz w:val="20"/>
          <w:szCs w:val="20"/>
        </w:rPr>
        <w:t xml:space="preserve"> documentation 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r w:rsidR="00C43236" w:rsidRPr="00A23A6A">
        <w:rPr>
          <w:rFonts w:ascii="Arial" w:hAnsi="Arial" w:cs="Arial"/>
          <w:sz w:val="20"/>
          <w:szCs w:val="20"/>
        </w:rPr>
        <w:t xml:space="preserve"> </w:t>
      </w:r>
    </w:p>
    <w:p w14:paraId="1E45713F" w14:textId="63159644" w:rsidR="00C43236" w:rsidRPr="00A23A6A" w:rsidRDefault="00C43236" w:rsidP="00C43236">
      <w:pPr>
        <w:pStyle w:val="NoSpacing"/>
        <w:spacing w:line="276" w:lineRule="auto"/>
        <w:ind w:left="720"/>
        <w:rPr>
          <w:rFonts w:ascii="Arial" w:hAnsi="Arial" w:cs="Arial"/>
          <w:sz w:val="20"/>
          <w:szCs w:val="20"/>
        </w:rPr>
      </w:pPr>
    </w:p>
    <w:p w14:paraId="59F495A7" w14:textId="77777777" w:rsidR="00E4772D" w:rsidRPr="0018563C" w:rsidRDefault="00E4772D" w:rsidP="00E4772D">
      <w:pPr>
        <w:pStyle w:val="NoSpacing"/>
        <w:spacing w:line="276" w:lineRule="auto"/>
        <w:rPr>
          <w:rFonts w:ascii="Arial" w:hAnsi="Arial" w:cs="Arial"/>
          <w:sz w:val="20"/>
          <w:szCs w:val="20"/>
        </w:rPr>
      </w:pPr>
      <w:r w:rsidRPr="0018563C">
        <w:rPr>
          <w:rFonts w:ascii="Arial" w:hAnsi="Arial" w:cs="Arial"/>
          <w:sz w:val="20"/>
          <w:szCs w:val="20"/>
        </w:rPr>
        <w:t xml:space="preserve">Thank you </w:t>
      </w:r>
      <w:proofErr w:type="gramStart"/>
      <w:r w:rsidRPr="0018563C">
        <w:rPr>
          <w:rFonts w:ascii="Arial" w:hAnsi="Arial" w:cs="Arial"/>
          <w:sz w:val="20"/>
          <w:szCs w:val="20"/>
        </w:rPr>
        <w:t>for your participation</w:t>
      </w:r>
      <w:proofErr w:type="gramEnd"/>
      <w:r w:rsidRPr="0018563C">
        <w:rPr>
          <w:rFonts w:ascii="Arial" w:hAnsi="Arial" w:cs="Arial"/>
          <w:sz w:val="20"/>
          <w:szCs w:val="20"/>
        </w:rPr>
        <w:t xml:space="preserve"> in SITES and </w:t>
      </w:r>
      <w:r>
        <w:rPr>
          <w:rFonts w:ascii="Arial" w:hAnsi="Arial" w:cs="Arial"/>
          <w:sz w:val="20"/>
          <w:szCs w:val="20"/>
        </w:rPr>
        <w:t xml:space="preserve">for </w:t>
      </w:r>
      <w:r w:rsidRPr="0018563C">
        <w:rPr>
          <w:rFonts w:ascii="Arial" w:hAnsi="Arial" w:cs="Arial"/>
          <w:sz w:val="20"/>
          <w:szCs w:val="20"/>
        </w:rPr>
        <w:t xml:space="preserve">your part in making sustainable places. </w:t>
      </w:r>
    </w:p>
    <w:p w14:paraId="144824C3" w14:textId="77777777" w:rsidR="00C43236" w:rsidRPr="00A23A6A" w:rsidRDefault="00C43236" w:rsidP="00C43236">
      <w:pPr>
        <w:pStyle w:val="NoSpacing"/>
        <w:spacing w:line="276" w:lineRule="auto"/>
        <w:ind w:left="720"/>
        <w:rPr>
          <w:rFonts w:ascii="Arial" w:hAnsi="Arial" w:cs="Arial"/>
          <w:sz w:val="20"/>
          <w:szCs w:val="20"/>
        </w:rPr>
      </w:pPr>
    </w:p>
    <w:p w14:paraId="3D2F59A0" w14:textId="5CAA53AE" w:rsidR="00C43236" w:rsidRPr="00A23A6A" w:rsidRDefault="00C43236" w:rsidP="00C43236">
      <w:pPr>
        <w:pStyle w:val="NoSpacing"/>
        <w:spacing w:line="276" w:lineRule="auto"/>
        <w:rPr>
          <w:rFonts w:ascii="Arial" w:hAnsi="Arial" w:cs="Arial"/>
          <w:sz w:val="20"/>
          <w:szCs w:val="20"/>
        </w:rPr>
      </w:pPr>
      <w:r w:rsidRPr="00A23A6A">
        <w:rPr>
          <w:rFonts w:ascii="Arial" w:hAnsi="Arial" w:cs="Arial"/>
          <w:sz w:val="20"/>
          <w:szCs w:val="20"/>
        </w:rPr>
        <w:t>Sincerely,</w:t>
      </w:r>
    </w:p>
    <w:p w14:paraId="5C8E1F4C" w14:textId="77777777" w:rsidR="00C43236" w:rsidRPr="00A23A6A" w:rsidRDefault="00C43236" w:rsidP="00C43236">
      <w:pPr>
        <w:pStyle w:val="NoSpacing"/>
        <w:spacing w:line="276" w:lineRule="auto"/>
        <w:ind w:left="720"/>
        <w:rPr>
          <w:rFonts w:ascii="Arial" w:hAnsi="Arial" w:cs="Arial"/>
          <w:sz w:val="20"/>
          <w:szCs w:val="20"/>
        </w:rPr>
      </w:pPr>
    </w:p>
    <w:p w14:paraId="53538E16" w14:textId="77777777" w:rsidR="00C43236" w:rsidRPr="00A23A6A" w:rsidRDefault="00C43236" w:rsidP="00C43236">
      <w:pPr>
        <w:pStyle w:val="NoSpacing"/>
        <w:spacing w:line="276" w:lineRule="auto"/>
        <w:rPr>
          <w:rFonts w:ascii="Arial" w:hAnsi="Arial" w:cs="Arial"/>
          <w:b/>
          <w:color w:val="FF0000"/>
          <w:sz w:val="20"/>
          <w:szCs w:val="20"/>
        </w:rPr>
      </w:pPr>
      <w:r w:rsidRPr="00A23A6A">
        <w:rPr>
          <w:rFonts w:ascii="Arial" w:hAnsi="Arial" w:cs="Arial"/>
          <w:b/>
          <w:color w:val="FF0000"/>
          <w:sz w:val="20"/>
          <w:szCs w:val="20"/>
        </w:rPr>
        <w:t>[NAME of CONTACT for PROJECT]</w:t>
      </w:r>
    </w:p>
    <w:p w14:paraId="477EB5E9" w14:textId="77777777" w:rsidR="00C43236" w:rsidRPr="00A23A6A" w:rsidRDefault="00C43236" w:rsidP="00C43236">
      <w:pPr>
        <w:pStyle w:val="NoSpacing"/>
        <w:spacing w:line="276" w:lineRule="auto"/>
        <w:rPr>
          <w:rFonts w:ascii="Arial" w:hAnsi="Arial" w:cs="Arial"/>
          <w:color w:val="FF0000"/>
          <w:sz w:val="20"/>
          <w:szCs w:val="20"/>
        </w:rPr>
      </w:pPr>
      <w:r w:rsidRPr="00A23A6A">
        <w:rPr>
          <w:rFonts w:ascii="Arial" w:hAnsi="Arial" w:cs="Arial"/>
          <w:color w:val="FF0000"/>
          <w:sz w:val="20"/>
          <w:szCs w:val="20"/>
        </w:rPr>
        <w:t>[FIRM/COMPANY NAME OF PROJECT CONTACT]</w:t>
      </w:r>
      <w:r w:rsidRPr="00A23A6A">
        <w:rPr>
          <w:rFonts w:ascii="Arial" w:hAnsi="Arial" w:cs="Arial"/>
          <w:color w:val="FF0000"/>
          <w:sz w:val="20"/>
          <w:szCs w:val="20"/>
        </w:rPr>
        <w:br/>
        <w:t xml:space="preserve">[CONTACT INFO FOR PROJECT: ADDRESS, EMAIL, </w:t>
      </w:r>
      <w:proofErr w:type="gramStart"/>
      <w:r w:rsidRPr="00A23A6A">
        <w:rPr>
          <w:rFonts w:ascii="Arial" w:hAnsi="Arial" w:cs="Arial"/>
          <w:color w:val="FF0000"/>
          <w:sz w:val="20"/>
          <w:szCs w:val="20"/>
        </w:rPr>
        <w:t>PHONE#]</w:t>
      </w:r>
      <w:proofErr w:type="gramEnd"/>
    </w:p>
    <w:sectPr w:rsidR="00C43236" w:rsidRPr="00A23A6A" w:rsidSect="00D61A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4666" w14:textId="77777777" w:rsidR="00CF2935" w:rsidRDefault="00CF2935" w:rsidP="003C7329">
      <w:pPr>
        <w:spacing w:after="0" w:line="240" w:lineRule="auto"/>
      </w:pPr>
      <w:r>
        <w:separator/>
      </w:r>
    </w:p>
  </w:endnote>
  <w:endnote w:type="continuationSeparator" w:id="0">
    <w:p w14:paraId="7BEBB0FE" w14:textId="77777777" w:rsidR="00CF2935" w:rsidRDefault="00CF2935" w:rsidP="003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8E09" w14:textId="3D9B713B" w:rsidR="00B20DDE" w:rsidRDefault="00B20DDE" w:rsidP="00B20DDE">
    <w:pPr>
      <w:pStyle w:val="Footer"/>
      <w:jc w:val="right"/>
    </w:pPr>
    <w:r>
      <w:t>V</w:t>
    </w:r>
    <w:r w:rsidR="00FB1595">
      <w:t>2</w:t>
    </w:r>
  </w:p>
  <w:p w14:paraId="3AE09B07" w14:textId="3ADAC369" w:rsidR="00B20DDE" w:rsidRDefault="00B20DDE" w:rsidP="00B20DDE">
    <w:pPr>
      <w:pStyle w:val="Footer"/>
      <w:jc w:val="right"/>
    </w:pPr>
    <w:r>
      <w:t>Copyright ©20</w:t>
    </w:r>
    <w:r w:rsidR="00FB1595">
      <w:t>26</w:t>
    </w:r>
  </w:p>
  <w:p w14:paraId="55A83861" w14:textId="77777777" w:rsidR="00B20DDE" w:rsidRDefault="00B20DDE" w:rsidP="00B20DDE">
    <w:pPr>
      <w:pStyle w:val="Footer"/>
      <w:tabs>
        <w:tab w:val="left" w:pos="5424"/>
      </w:tabs>
    </w:pPr>
    <w:r>
      <w:tab/>
    </w:r>
    <w:r>
      <w:tab/>
    </w:r>
    <w:r>
      <w:tab/>
      <w:t>Green Business Certification Inc.</w:t>
    </w:r>
  </w:p>
  <w:p w14:paraId="3187BD1A" w14:textId="77777777" w:rsidR="00B20DDE" w:rsidRDefault="00B20DDE" w:rsidP="00B20DDE">
    <w:pPr>
      <w:pStyle w:val="Footer"/>
      <w:jc w:val="right"/>
    </w:pPr>
    <w:r>
      <w:t>All rights reserved.</w:t>
    </w:r>
  </w:p>
  <w:p w14:paraId="2EFC19DA" w14:textId="37D1EEFF" w:rsidR="00B20DDE" w:rsidRDefault="00B20DDE">
    <w:pPr>
      <w:pStyle w:val="Footer"/>
    </w:pPr>
  </w:p>
  <w:p w14:paraId="5474CAF6" w14:textId="77777777" w:rsidR="00B20DDE" w:rsidRDefault="00B20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9BC5" w14:textId="77777777" w:rsidR="00CF2935" w:rsidRDefault="00CF2935" w:rsidP="003C7329">
      <w:pPr>
        <w:spacing w:after="0" w:line="240" w:lineRule="auto"/>
      </w:pPr>
      <w:r>
        <w:separator/>
      </w:r>
    </w:p>
  </w:footnote>
  <w:footnote w:type="continuationSeparator" w:id="0">
    <w:p w14:paraId="77302D60" w14:textId="77777777" w:rsidR="00CF2935" w:rsidRDefault="00CF2935" w:rsidP="003C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48A9" w14:textId="235C23F9" w:rsidR="009E1BBB" w:rsidRDefault="009E1BBB">
    <w:pPr>
      <w:pStyle w:val="Header"/>
    </w:pPr>
    <w:r>
      <w:rPr>
        <w:noProof/>
      </w:rPr>
      <mc:AlternateContent>
        <mc:Choice Requires="wps">
          <w:drawing>
            <wp:anchor distT="0" distB="0" distL="118745" distR="118745" simplePos="0" relativeHeight="251659264" behindDoc="0" locked="0" layoutInCell="1" allowOverlap="0" wp14:anchorId="20DCDD07" wp14:editId="7AD0A1CA">
              <wp:simplePos x="0" y="0"/>
              <wp:positionH relativeFrom="margin">
                <wp:posOffset>-929640</wp:posOffset>
              </wp:positionH>
              <wp:positionV relativeFrom="page">
                <wp:posOffset>449580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79E14" w14:textId="79C22CB1" w:rsidR="009E1BBB" w:rsidRPr="009E1BBB" w:rsidRDefault="005E16D5" w:rsidP="009E1BBB">
                          <w:pPr>
                            <w:rPr>
                              <w:rFonts w:ascii="Arial" w:hAnsi="Arial" w:cs="Arial"/>
                              <w:caps/>
                              <w:color w:val="FFFFFF" w:themeColor="background1"/>
                            </w:rPr>
                          </w:pPr>
                          <w:r>
                            <w:t xml:space="preserve">                          </w:t>
                          </w:r>
                          <w:r w:rsidR="009E1BBB" w:rsidRPr="009E1BBB">
                            <w:t>SITES</w:t>
                          </w:r>
                          <w:r w:rsidR="00781ECC">
                            <w:t>®</w:t>
                          </w:r>
                          <w:r w:rsidR="009E1BBB" w:rsidRPr="009E1BBB">
                            <w:t xml:space="preserve"> v2: C</w:t>
                          </w:r>
                          <w:r w:rsidR="00FB1595">
                            <w:t xml:space="preserve">redit </w:t>
                          </w:r>
                          <w:r w:rsidR="00884FEB">
                            <w:t>5.8</w:t>
                          </w:r>
                          <w:r w:rsidR="009E1BBB" w:rsidRPr="009E1BBB">
                            <w:t xml:space="preserve"> </w:t>
                          </w:r>
                          <w:r w:rsidR="00B37A96">
                            <w:t>SUPPORT TRANSPARENCY AND SAFER CHEMISTRY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20DCDD07" id="Rectangle 197" o:spid="_x0000_s1026" style="position:absolute;margin-left:-73.2pt;margin-top:35.4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" o:allowoverlap="f" fillcolor="#447698" stroked="f" strokeweight="2pt">
              <v:textbox>
                <w:txbxContent>
                  <w:p w14:paraId="42079E14" w14:textId="79C22CB1" w:rsidR="009E1BBB" w:rsidRPr="009E1BBB" w:rsidRDefault="005E16D5" w:rsidP="009E1BBB">
                    <w:pPr>
                      <w:rPr>
                        <w:rFonts w:ascii="Arial" w:hAnsi="Arial" w:cs="Arial"/>
                        <w:caps/>
                        <w:color w:val="FFFFFF" w:themeColor="background1"/>
                      </w:rPr>
                    </w:pPr>
                    <w:r>
                      <w:t xml:space="preserve">                          </w:t>
                    </w:r>
                    <w:r w:rsidR="009E1BBB" w:rsidRPr="009E1BBB">
                      <w:t>SITES</w:t>
                    </w:r>
                    <w:r w:rsidR="00781ECC">
                      <w:t>®</w:t>
                    </w:r>
                    <w:r w:rsidR="009E1BBB" w:rsidRPr="009E1BBB">
                      <w:t xml:space="preserve"> v2: C</w:t>
                    </w:r>
                    <w:r w:rsidR="00FB1595">
                      <w:t xml:space="preserve">redit </w:t>
                    </w:r>
                    <w:r w:rsidR="00884FEB">
                      <w:t>5.8</w:t>
                    </w:r>
                    <w:r w:rsidR="009E1BBB" w:rsidRPr="009E1BBB">
                      <w:t xml:space="preserve"> </w:t>
                    </w:r>
                    <w:r w:rsidR="00B37A96">
                      <w:t>SUPPORT TRANSPARENCY AND SAFER CHEMISTRY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31327"/>
    <w:multiLevelType w:val="hybridMultilevel"/>
    <w:tmpl w:val="FFC005B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961FE5"/>
    <w:multiLevelType w:val="hybridMultilevel"/>
    <w:tmpl w:val="B0B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41D"/>
    <w:multiLevelType w:val="multilevel"/>
    <w:tmpl w:val="4B1E2BA2"/>
    <w:numStyleLink w:val="Style1"/>
  </w:abstractNum>
  <w:abstractNum w:abstractNumId="4" w15:restartNumberingAfterBreak="0">
    <w:nsid w:val="16D80F5B"/>
    <w:multiLevelType w:val="hybridMultilevel"/>
    <w:tmpl w:val="ED5EAF98"/>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2A61"/>
    <w:multiLevelType w:val="hybridMultilevel"/>
    <w:tmpl w:val="3180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45BD0"/>
    <w:multiLevelType w:val="hybridMultilevel"/>
    <w:tmpl w:val="E676D0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5A2AB7"/>
    <w:multiLevelType w:val="hybridMultilevel"/>
    <w:tmpl w:val="E9BA41E6"/>
    <w:lvl w:ilvl="0" w:tplc="B8F2CF22">
      <w:start w:val="1"/>
      <w:numFmt w:val="bullet"/>
      <w:lvlText w:val="⎕"/>
      <w:lvlJc w:val="left"/>
      <w:pPr>
        <w:ind w:left="720" w:hanging="360"/>
      </w:pPr>
      <w:rPr>
        <w:rFonts w:ascii="Cambria" w:hAnsi="Cambri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31E9"/>
    <w:multiLevelType w:val="hybridMultilevel"/>
    <w:tmpl w:val="2BAE372A"/>
    <w:lvl w:ilvl="0" w:tplc="B8F2CF2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C4FB7"/>
    <w:multiLevelType w:val="hybridMultilevel"/>
    <w:tmpl w:val="F1444A7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83A2F"/>
    <w:multiLevelType w:val="hybridMultilevel"/>
    <w:tmpl w:val="0E88E0AE"/>
    <w:lvl w:ilvl="0" w:tplc="2D00C7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64EAD"/>
    <w:multiLevelType w:val="hybridMultilevel"/>
    <w:tmpl w:val="174E7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EA274C"/>
    <w:multiLevelType w:val="hybridMultilevel"/>
    <w:tmpl w:val="7AD259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F24018"/>
    <w:multiLevelType w:val="multilevel"/>
    <w:tmpl w:val="4B1E2BA2"/>
    <w:numStyleLink w:val="Style1"/>
  </w:abstractNum>
  <w:abstractNum w:abstractNumId="14" w15:restartNumberingAfterBreak="0">
    <w:nsid w:val="502F6FAA"/>
    <w:multiLevelType w:val="hybridMultilevel"/>
    <w:tmpl w:val="230248A8"/>
    <w:lvl w:ilvl="0" w:tplc="B8F2CF22">
      <w:start w:val="1"/>
      <w:numFmt w:val="bullet"/>
      <w:lvlText w:val="⎕"/>
      <w:lvlJc w:val="left"/>
      <w:pPr>
        <w:ind w:left="720" w:hanging="360"/>
      </w:pPr>
      <w:rPr>
        <w:rFonts w:ascii="Cambria" w:hAnsi="Cambria" w:hint="default"/>
      </w:rPr>
    </w:lvl>
    <w:lvl w:ilvl="1" w:tplc="C864343C">
      <w:start w:val="1"/>
      <w:numFmt w:val="bullet"/>
      <w:lvlText w:val=""/>
      <w:lvlJc w:val="left"/>
      <w:pPr>
        <w:ind w:left="108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B2F89"/>
    <w:multiLevelType w:val="hybridMultilevel"/>
    <w:tmpl w:val="562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22846"/>
    <w:multiLevelType w:val="hybridMultilevel"/>
    <w:tmpl w:val="57AF06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2C5FD4"/>
    <w:multiLevelType w:val="hybridMultilevel"/>
    <w:tmpl w:val="30E66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514D67"/>
    <w:multiLevelType w:val="hybridMultilevel"/>
    <w:tmpl w:val="7F0080E2"/>
    <w:lvl w:ilvl="0" w:tplc="B8F2CF22">
      <w:start w:val="1"/>
      <w:numFmt w:val="bullet"/>
      <w:lvlText w:val="⎕"/>
      <w:lvlJc w:val="left"/>
      <w:pPr>
        <w:ind w:left="720" w:hanging="360"/>
      </w:pPr>
      <w:rPr>
        <w:rFonts w:ascii="Cambria" w:hAnsi="Cambria" w:hint="default"/>
      </w:rPr>
    </w:lvl>
    <w:lvl w:ilvl="1" w:tplc="CD189982">
      <w:start w:val="1"/>
      <w:numFmt w:val="bullet"/>
      <w:lvlText w:val="o"/>
      <w:lvlJc w:val="left"/>
      <w:pPr>
        <w:ind w:left="1440" w:hanging="360"/>
      </w:pPr>
      <w:rPr>
        <w:rFonts w:ascii="Courier New" w:hAnsi="Courier New" w:cs="Courier New" w:hint="default"/>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C1254"/>
    <w:multiLevelType w:val="hybridMultilevel"/>
    <w:tmpl w:val="4A2E19BA"/>
    <w:lvl w:ilvl="0" w:tplc="B8F2CF22">
      <w:start w:val="1"/>
      <w:numFmt w:val="bullet"/>
      <w:lvlText w:val="⎕"/>
      <w:lvlJc w:val="left"/>
      <w:pPr>
        <w:ind w:left="720" w:hanging="360"/>
      </w:pPr>
      <w:rPr>
        <w:rFonts w:ascii="Cambria" w:hAnsi="Cambria"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D6B23"/>
    <w:multiLevelType w:val="hybridMultilevel"/>
    <w:tmpl w:val="CC42B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464257">
    <w:abstractNumId w:val="8"/>
  </w:num>
  <w:num w:numId="2" w16cid:durableId="799806966">
    <w:abstractNumId w:val="19"/>
  </w:num>
  <w:num w:numId="3" w16cid:durableId="1041904468">
    <w:abstractNumId w:val="18"/>
  </w:num>
  <w:num w:numId="4" w16cid:durableId="61103111">
    <w:abstractNumId w:val="0"/>
  </w:num>
  <w:num w:numId="5" w16cid:durableId="670841113">
    <w:abstractNumId w:val="3"/>
  </w:num>
  <w:num w:numId="6" w16cid:durableId="350571901">
    <w:abstractNumId w:val="13"/>
  </w:num>
  <w:num w:numId="7" w16cid:durableId="1289968238">
    <w:abstractNumId w:val="10"/>
  </w:num>
  <w:num w:numId="8" w16cid:durableId="683046545">
    <w:abstractNumId w:val="17"/>
  </w:num>
  <w:num w:numId="9" w16cid:durableId="2118676611">
    <w:abstractNumId w:val="15"/>
  </w:num>
  <w:num w:numId="10" w16cid:durableId="2095978083">
    <w:abstractNumId w:val="2"/>
  </w:num>
  <w:num w:numId="11" w16cid:durableId="598563271">
    <w:abstractNumId w:val="1"/>
  </w:num>
  <w:num w:numId="12" w16cid:durableId="212085058">
    <w:abstractNumId w:val="6"/>
  </w:num>
  <w:num w:numId="13" w16cid:durableId="596256234">
    <w:abstractNumId w:val="14"/>
  </w:num>
  <w:num w:numId="14" w16cid:durableId="1582376334">
    <w:abstractNumId w:val="5"/>
  </w:num>
  <w:num w:numId="15" w16cid:durableId="98335302">
    <w:abstractNumId w:val="11"/>
  </w:num>
  <w:num w:numId="16" w16cid:durableId="247429519">
    <w:abstractNumId w:val="12"/>
  </w:num>
  <w:num w:numId="17" w16cid:durableId="1530217320">
    <w:abstractNumId w:val="16"/>
  </w:num>
  <w:num w:numId="18" w16cid:durableId="1443181465">
    <w:abstractNumId w:val="20"/>
  </w:num>
  <w:num w:numId="19" w16cid:durableId="1942106742">
    <w:abstractNumId w:val="4"/>
  </w:num>
  <w:num w:numId="20" w16cid:durableId="1843352472">
    <w:abstractNumId w:val="7"/>
  </w:num>
  <w:num w:numId="21" w16cid:durableId="31962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AD"/>
    <w:rsid w:val="00013D7E"/>
    <w:rsid w:val="00022816"/>
    <w:rsid w:val="00060449"/>
    <w:rsid w:val="00073989"/>
    <w:rsid w:val="000C6894"/>
    <w:rsid w:val="000E192D"/>
    <w:rsid w:val="000E61C1"/>
    <w:rsid w:val="001036EE"/>
    <w:rsid w:val="001037FA"/>
    <w:rsid w:val="00132CE4"/>
    <w:rsid w:val="001842FF"/>
    <w:rsid w:val="00197BE1"/>
    <w:rsid w:val="001B10FF"/>
    <w:rsid w:val="001B395D"/>
    <w:rsid w:val="001B4433"/>
    <w:rsid w:val="001F3BAD"/>
    <w:rsid w:val="002319F8"/>
    <w:rsid w:val="00246E11"/>
    <w:rsid w:val="00260712"/>
    <w:rsid w:val="002D395C"/>
    <w:rsid w:val="003228F7"/>
    <w:rsid w:val="00370785"/>
    <w:rsid w:val="00374ED2"/>
    <w:rsid w:val="00392EB8"/>
    <w:rsid w:val="003B1B3B"/>
    <w:rsid w:val="003C7329"/>
    <w:rsid w:val="003F09FF"/>
    <w:rsid w:val="003F459C"/>
    <w:rsid w:val="00410768"/>
    <w:rsid w:val="00413C57"/>
    <w:rsid w:val="004303CC"/>
    <w:rsid w:val="004355A6"/>
    <w:rsid w:val="00455E44"/>
    <w:rsid w:val="00482C9A"/>
    <w:rsid w:val="00483244"/>
    <w:rsid w:val="004A0481"/>
    <w:rsid w:val="00511CAC"/>
    <w:rsid w:val="005428A2"/>
    <w:rsid w:val="005665F2"/>
    <w:rsid w:val="00566CBE"/>
    <w:rsid w:val="0057385A"/>
    <w:rsid w:val="00590E94"/>
    <w:rsid w:val="005912FC"/>
    <w:rsid w:val="005C15B6"/>
    <w:rsid w:val="005C73F4"/>
    <w:rsid w:val="005E16D5"/>
    <w:rsid w:val="005E2035"/>
    <w:rsid w:val="005F0728"/>
    <w:rsid w:val="006015E4"/>
    <w:rsid w:val="0065176D"/>
    <w:rsid w:val="0065485D"/>
    <w:rsid w:val="006658D2"/>
    <w:rsid w:val="006C77F4"/>
    <w:rsid w:val="006D06DF"/>
    <w:rsid w:val="00702235"/>
    <w:rsid w:val="007806A0"/>
    <w:rsid w:val="00781ECC"/>
    <w:rsid w:val="007C567A"/>
    <w:rsid w:val="00801C36"/>
    <w:rsid w:val="00804291"/>
    <w:rsid w:val="00820050"/>
    <w:rsid w:val="008254FD"/>
    <w:rsid w:val="00841006"/>
    <w:rsid w:val="00884FEB"/>
    <w:rsid w:val="00886D52"/>
    <w:rsid w:val="008A5DA4"/>
    <w:rsid w:val="008E621F"/>
    <w:rsid w:val="00927893"/>
    <w:rsid w:val="009367C6"/>
    <w:rsid w:val="00956F02"/>
    <w:rsid w:val="009871E9"/>
    <w:rsid w:val="009B68DE"/>
    <w:rsid w:val="009C1ACF"/>
    <w:rsid w:val="009C36C6"/>
    <w:rsid w:val="009D5063"/>
    <w:rsid w:val="009E1BBB"/>
    <w:rsid w:val="009E7F89"/>
    <w:rsid w:val="00A17E70"/>
    <w:rsid w:val="00A23A6A"/>
    <w:rsid w:val="00A4648A"/>
    <w:rsid w:val="00A55CCB"/>
    <w:rsid w:val="00A646B6"/>
    <w:rsid w:val="00A70E5D"/>
    <w:rsid w:val="00A8419B"/>
    <w:rsid w:val="00A96F80"/>
    <w:rsid w:val="00AA25D8"/>
    <w:rsid w:val="00AD5B76"/>
    <w:rsid w:val="00AF0A74"/>
    <w:rsid w:val="00B0509C"/>
    <w:rsid w:val="00B1076C"/>
    <w:rsid w:val="00B15BF2"/>
    <w:rsid w:val="00B20DDE"/>
    <w:rsid w:val="00B37A96"/>
    <w:rsid w:val="00BB015F"/>
    <w:rsid w:val="00BD12A0"/>
    <w:rsid w:val="00C203E2"/>
    <w:rsid w:val="00C2411F"/>
    <w:rsid w:val="00C43236"/>
    <w:rsid w:val="00C7140F"/>
    <w:rsid w:val="00C7781A"/>
    <w:rsid w:val="00C8032D"/>
    <w:rsid w:val="00CE03A4"/>
    <w:rsid w:val="00CF2935"/>
    <w:rsid w:val="00D13BF7"/>
    <w:rsid w:val="00D4752E"/>
    <w:rsid w:val="00D52D11"/>
    <w:rsid w:val="00D61A68"/>
    <w:rsid w:val="00D62F58"/>
    <w:rsid w:val="00D73F09"/>
    <w:rsid w:val="00E05C71"/>
    <w:rsid w:val="00E362E8"/>
    <w:rsid w:val="00E36E87"/>
    <w:rsid w:val="00E4772D"/>
    <w:rsid w:val="00E718EF"/>
    <w:rsid w:val="00EA0644"/>
    <w:rsid w:val="00EF39E7"/>
    <w:rsid w:val="00F02F13"/>
    <w:rsid w:val="00F0511A"/>
    <w:rsid w:val="00F15C01"/>
    <w:rsid w:val="00F206DC"/>
    <w:rsid w:val="00F215AC"/>
    <w:rsid w:val="00F22B12"/>
    <w:rsid w:val="00F8316D"/>
    <w:rsid w:val="00F93578"/>
    <w:rsid w:val="00FA0BF6"/>
    <w:rsid w:val="00FA5F5E"/>
    <w:rsid w:val="00FB0FAF"/>
    <w:rsid w:val="00FB1595"/>
    <w:rsid w:val="00FB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AC805B"/>
  <w15:docId w15:val="{D1417EC4-8CDA-488E-818F-5551C68E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paragraph" w:styleId="BalloonText">
    <w:name w:val="Balloon Text"/>
    <w:basedOn w:val="Normal"/>
    <w:link w:val="BalloonTextChar"/>
    <w:uiPriority w:val="99"/>
    <w:semiHidden/>
    <w:unhideWhenUsed/>
    <w:rsid w:val="006D06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06DF"/>
    <w:rPr>
      <w:rFonts w:ascii="Lucida Grande" w:hAnsi="Lucida Grande"/>
      <w:sz w:val="18"/>
      <w:szCs w:val="18"/>
    </w:rPr>
  </w:style>
  <w:style w:type="character" w:styleId="Hyperlink">
    <w:name w:val="Hyperlink"/>
    <w:basedOn w:val="DefaultParagraphFont"/>
    <w:uiPriority w:val="99"/>
    <w:unhideWhenUsed/>
    <w:rsid w:val="009B68DE"/>
    <w:rPr>
      <w:color w:val="0000FF" w:themeColor="hyperlink"/>
      <w:u w:val="single"/>
    </w:rPr>
  </w:style>
  <w:style w:type="character" w:styleId="CommentReference">
    <w:name w:val="annotation reference"/>
    <w:basedOn w:val="DefaultParagraphFont"/>
    <w:uiPriority w:val="99"/>
    <w:semiHidden/>
    <w:unhideWhenUsed/>
    <w:rsid w:val="00132CE4"/>
    <w:rPr>
      <w:sz w:val="16"/>
      <w:szCs w:val="16"/>
    </w:rPr>
  </w:style>
  <w:style w:type="paragraph" w:styleId="CommentText">
    <w:name w:val="annotation text"/>
    <w:basedOn w:val="Normal"/>
    <w:link w:val="CommentTextChar"/>
    <w:uiPriority w:val="99"/>
    <w:semiHidden/>
    <w:unhideWhenUsed/>
    <w:rsid w:val="00132CE4"/>
    <w:pPr>
      <w:spacing w:line="240" w:lineRule="auto"/>
    </w:pPr>
    <w:rPr>
      <w:sz w:val="20"/>
      <w:szCs w:val="20"/>
    </w:rPr>
  </w:style>
  <w:style w:type="character" w:customStyle="1" w:styleId="CommentTextChar">
    <w:name w:val="Comment Text Char"/>
    <w:basedOn w:val="DefaultParagraphFont"/>
    <w:link w:val="CommentText"/>
    <w:uiPriority w:val="99"/>
    <w:semiHidden/>
    <w:rsid w:val="00132CE4"/>
    <w:rPr>
      <w:sz w:val="20"/>
      <w:szCs w:val="20"/>
    </w:rPr>
  </w:style>
  <w:style w:type="paragraph" w:styleId="CommentSubject">
    <w:name w:val="annotation subject"/>
    <w:basedOn w:val="CommentText"/>
    <w:next w:val="CommentText"/>
    <w:link w:val="CommentSubjectChar"/>
    <w:uiPriority w:val="99"/>
    <w:semiHidden/>
    <w:unhideWhenUsed/>
    <w:rsid w:val="00132CE4"/>
    <w:rPr>
      <w:b/>
      <w:bCs/>
    </w:rPr>
  </w:style>
  <w:style w:type="character" w:customStyle="1" w:styleId="CommentSubjectChar">
    <w:name w:val="Comment Subject Char"/>
    <w:basedOn w:val="CommentTextChar"/>
    <w:link w:val="CommentSubject"/>
    <w:uiPriority w:val="99"/>
    <w:semiHidden/>
    <w:rsid w:val="00132CE4"/>
    <w:rPr>
      <w:b/>
      <w:bCs/>
      <w:sz w:val="20"/>
      <w:szCs w:val="20"/>
    </w:rPr>
  </w:style>
  <w:style w:type="paragraph" w:customStyle="1" w:styleId="Default">
    <w:name w:val="Default"/>
    <w:rsid w:val="003F09FF"/>
    <w:pPr>
      <w:widowControl w:val="0"/>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0023">
      <w:bodyDiv w:val="1"/>
      <w:marLeft w:val="0"/>
      <w:marRight w:val="0"/>
      <w:marTop w:val="0"/>
      <w:marBottom w:val="0"/>
      <w:divBdr>
        <w:top w:val="none" w:sz="0" w:space="0" w:color="auto"/>
        <w:left w:val="none" w:sz="0" w:space="0" w:color="auto"/>
        <w:bottom w:val="none" w:sz="0" w:space="0" w:color="auto"/>
        <w:right w:val="none" w:sz="0" w:space="0" w:color="auto"/>
      </w:divBdr>
    </w:div>
    <w:div w:id="987779216">
      <w:bodyDiv w:val="1"/>
      <w:marLeft w:val="0"/>
      <w:marRight w:val="0"/>
      <w:marTop w:val="0"/>
      <w:marBottom w:val="0"/>
      <w:divBdr>
        <w:top w:val="none" w:sz="0" w:space="0" w:color="auto"/>
        <w:left w:val="none" w:sz="0" w:space="0" w:color="auto"/>
        <w:bottom w:val="none" w:sz="0" w:space="0" w:color="auto"/>
        <w:right w:val="none" w:sz="0" w:space="0" w:color="auto"/>
      </w:divBdr>
    </w:div>
    <w:div w:id="18211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SITES V2: c6.11 sUPPORT tRANSPARENCY AND SAFER CHEMISTRY</vt:lpstr>
    </vt:vector>
  </TitlesOfParts>
  <Manager/>
  <Company/>
  <LinksUpToDate>false</LinksUpToDate>
  <CharactersWithSpaces>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SITES V2: c6.11 sUPPORT tRANSPARENCY AND SAFER CHEMISTRY</dc:title>
  <dc:subject/>
  <dc:creator>Danielle Pieranunzi</dc:creator>
  <cp:keywords/>
  <dc:description/>
  <cp:lastModifiedBy>Danielle Pieranunzi</cp:lastModifiedBy>
  <cp:revision>4</cp:revision>
  <dcterms:created xsi:type="dcterms:W3CDTF">2026-04-07T17:48:00Z</dcterms:created>
  <dcterms:modified xsi:type="dcterms:W3CDTF">2026-04-07T18:06:00Z</dcterms:modified>
  <cp:category/>
</cp:coreProperties>
</file>